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b/>
          <w:bCs/>
          <w:sz w:val="34"/>
          <w:szCs w:val="34"/>
        </w:rPr>
        <w:t xml:space="preserve">Паспорт безопасности</w:t>
      </w:r>
    </w:p>
    <w:p>
      <w:pPr>
        <w:spacing w:after="120"/>
        <w:jc w:val="center"/>
      </w:pPr>
      <w:r>
        <w:rPr>
          <w:i/>
          <w:iCs/>
          <w:sz w:val="22"/>
          <w:szCs w:val="22"/>
        </w:rPr>
        <w:t xml:space="preserve">согласно 1907/2006/EC, Статья 31</w:t>
      </w:r>
    </w:p>
    <w:p>
      <w:pPr>
        <w:pBdr>
          <w:bottom w:val="single" w:color="000000" w:sz="8" w:space="4"/>
        </w:pBdr>
        <w:spacing w:after="200"/>
        <w:jc w:val="center"/>
      </w:pPr>
      <w:r>
        <w:rPr>
          <w:b/>
          <w:bCs/>
          <w:sz w:val="26"/>
          <w:szCs w:val="26"/>
        </w:rPr>
        <w:t xml:space="preserve">MAGIC OIL 2K WHITE Comp. B</w:t>
      </w:r>
    </w:p>
    <w:p>
      <w:pPr>
        <w:spacing w:after="200"/>
        <w:jc w:val="center"/>
      </w:pPr>
      <w:r>
        <w:rPr>
          <w:color w:val="444444"/>
          <w:sz w:val="18"/>
          <w:szCs w:val="18"/>
        </w:rPr>
        <w:t xml:space="preserve">Дата печати: 10.06.2026 · Версия 3 (заменяет версию 2) · Пересмотр: 10.06.2026</w:t>
      </w: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 Идентификация вещества/смеси и сведения о компании</w:t>
            </w:r>
          </w:p>
        </w:tc>
      </w:tr>
    </w:tbl>
    <w:p>
      <w:pPr>
        <w:spacing w:after="80"/>
      </w:pPr>
    </w:p>
    <w:p>
      <w:pPr>
        <w:spacing w:after="60" w:before="120"/>
      </w:pPr>
      <w:r>
        <w:rPr>
          <w:b/>
          <w:bCs/>
          <w:sz w:val="21"/>
          <w:szCs w:val="21"/>
        </w:rPr>
        <w:t xml:space="preserve">1.1 Идентификатор продукта</w:t>
      </w:r>
    </w:p>
    <w:p>
      <w:pPr>
        <w:spacing w:after="60"/>
      </w:pPr>
      <w:r>
        <w:rPr>
          <w:b w:val="false"/>
          <w:bCs w:val="false"/>
          <w:i w:val="false"/>
          <w:iCs w:val="false"/>
          <w:sz w:val="21"/>
          <w:szCs w:val="21"/>
        </w:rPr>
        <w:t xml:space="preserve">Торговое название: MAGIC OIL 2K WHITE Comp. B</w:t>
      </w:r>
    </w:p>
    <w:p>
      <w:pPr>
        <w:spacing w:after="60" w:before="120"/>
      </w:pPr>
      <w:r>
        <w:rPr>
          <w:b/>
          <w:bCs/>
          <w:sz w:val="21"/>
          <w:szCs w:val="21"/>
        </w:rPr>
        <w:t xml:space="preserve">1.2 Соответствующие установленные виды использования вещества или смеси и виды использования, которые не рекомендуются</w:t>
      </w:r>
    </w:p>
    <w:p>
      <w:pPr>
        <w:spacing w:after="60"/>
      </w:pPr>
      <w:r>
        <w:rPr>
          <w:b w:val="false"/>
          <w:bCs w:val="false"/>
          <w:i w:val="false"/>
          <w:iCs w:val="false"/>
          <w:sz w:val="21"/>
          <w:szCs w:val="21"/>
        </w:rPr>
        <w:t xml:space="preserve">Сектор применения:</w:t>
      </w:r>
    </w:p>
    <w:p>
      <w:pPr>
        <w:spacing w:after="0"/>
      </w:pPr>
      <w:r>
        <w:rPr>
          <w:sz w:val="21"/>
          <w:szCs w:val="21"/>
        </w:rPr>
        <w:t xml:space="preserve">●  SU19 Строительные и строительно-монтажные работы</w:t>
      </w:r>
    </w:p>
    <w:p>
      <w:pPr>
        <w:spacing w:after="0"/>
      </w:pPr>
      <w:r>
        <w:rPr>
          <w:sz w:val="21"/>
          <w:szCs w:val="21"/>
        </w:rPr>
        <w:t xml:space="preserve">●  SU22 Профессиональное использование: общественная сфера (администрация, образование, развлечения, услуги, ремесленники)</w:t>
      </w:r>
    </w:p>
    <w:p>
      <w:pPr>
        <w:spacing w:after="60"/>
      </w:pPr>
      <w:r>
        <w:rPr>
          <w:b w:val="false"/>
          <w:bCs w:val="false"/>
          <w:i w:val="false"/>
          <w:iCs w:val="false"/>
          <w:sz w:val="21"/>
          <w:szCs w:val="21"/>
        </w:rPr>
        <w:t xml:space="preserve">Только для профессионального использования.</w:t>
      </w:r>
    </w:p>
    <w:p>
      <w:pPr>
        <w:spacing w:after="60"/>
      </w:pPr>
      <w:r>
        <w:rPr>
          <w:b w:val="false"/>
          <w:bCs w:val="false"/>
          <w:i w:val="false"/>
          <w:iCs w:val="false"/>
          <w:sz w:val="21"/>
          <w:szCs w:val="21"/>
        </w:rPr>
        <w:t xml:space="preserve">Категория продукта: PC31 Полироли и восковые смеси</w:t>
      </w:r>
    </w:p>
    <w:p>
      <w:pPr>
        <w:spacing w:after="60"/>
      </w:pPr>
      <w:r>
        <w:rPr>
          <w:b w:val="false"/>
          <w:bCs w:val="false"/>
          <w:i w:val="false"/>
          <w:iCs w:val="false"/>
          <w:sz w:val="21"/>
          <w:szCs w:val="21"/>
        </w:rPr>
        <w:t xml:space="preserve">Применение вещества/смеси: 2-компонентная масляно-восковая комбинация с натуральным маслом и восками</w:t>
      </w:r>
    </w:p>
    <w:p>
      <w:pPr>
        <w:spacing w:after="60" w:before="120"/>
      </w:pPr>
      <w:r>
        <w:rPr>
          <w:b/>
          <w:bCs/>
          <w:sz w:val="21"/>
          <w:szCs w:val="21"/>
        </w:rPr>
        <w:t xml:space="preserve">1.3 Сведения о поставщике паспорта безопасности</w:t>
      </w:r>
    </w:p>
    <w:p>
      <w:pPr>
        <w:spacing w:after="60"/>
      </w:pPr>
      <w:r>
        <w:rPr>
          <w:b w:val="false"/>
          <w:bCs w:val="false"/>
          <w:i w:val="false"/>
          <w:iCs w:val="false"/>
          <w:sz w:val="21"/>
          <w:szCs w:val="21"/>
        </w:rPr>
        <w:t xml:space="preserve">Производитель/поставщик: PALLMANN GmbH, Im Kreuz 6, D-97076 Würzburg. Тел.: +49 931-27964-0.</w:t>
      </w:r>
    </w:p>
    <w:p>
      <w:pPr>
        <w:spacing w:after="60"/>
      </w:pPr>
      <w:r>
        <w:rPr>
          <w:b w:val="false"/>
          <w:bCs w:val="false"/>
          <w:i w:val="false"/>
          <w:iCs w:val="false"/>
          <w:sz w:val="21"/>
          <w:szCs w:val="21"/>
        </w:rPr>
        <w:t xml:space="preserve">Дополнительную информацию можно получить: Products Development Lab, e-mail: msds.info@pallmann.net</w:t>
      </w:r>
    </w:p>
    <w:p>
      <w:pPr>
        <w:spacing w:after="60" w:before="120"/>
      </w:pPr>
      <w:r>
        <w:rPr>
          <w:b/>
          <w:bCs/>
          <w:sz w:val="21"/>
          <w:szCs w:val="21"/>
        </w:rPr>
        <w:t xml:space="preserve">1.4 Номер телефона для экстренной связи</w:t>
      </w:r>
    </w:p>
    <w:p>
      <w:pPr>
        <w:spacing w:after="60"/>
      </w:pPr>
      <w:r>
        <w:rPr>
          <w:b w:val="false"/>
          <w:bCs w:val="false"/>
          <w:i w:val="false"/>
          <w:iCs w:val="false"/>
          <w:sz w:val="21"/>
          <w:szCs w:val="21"/>
        </w:rPr>
        <w:t xml:space="preserve">Медицинские экстренные случаи (GIZ-Nord): +49 551 19240</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2: Идентификация опасности</w:t>
            </w:r>
          </w:p>
        </w:tc>
      </w:tr>
    </w:tbl>
    <w:p>
      <w:pPr>
        <w:spacing w:after="80"/>
      </w:pPr>
    </w:p>
    <w:p>
      <w:pPr>
        <w:spacing w:after="60" w:before="120"/>
      </w:pPr>
      <w:r>
        <w:rPr>
          <w:b/>
          <w:bCs/>
          <w:sz w:val="21"/>
          <w:szCs w:val="21"/>
        </w:rPr>
        <w:t xml:space="preserve">2.1 Классификация вещества или смеси</w:t>
      </w:r>
    </w:p>
    <w:p>
      <w:pPr>
        <w:spacing w:after="60"/>
      </w:pPr>
      <w:r>
        <w:rPr>
          <w:b w:val="false"/>
          <w:bCs w:val="false"/>
          <w:i w:val="false"/>
          <w:iCs w:val="false"/>
          <w:sz w:val="21"/>
          <w:szCs w:val="21"/>
        </w:rPr>
        <w:t xml:space="preserve">Классификация согласно Регламенту (ЕС) № 1272/2008: пиктограмма GHS07.</w:t>
      </w:r>
    </w:p>
    <w:p>
      <w:pPr>
        <w:spacing w:after="60"/>
      </w:pPr>
      <w:r>
        <w:rPr>
          <w:b w:val="false"/>
          <w:bCs w:val="false"/>
          <w:i w:val="false"/>
          <w:iCs w:val="false"/>
          <w:sz w:val="21"/>
          <w:szCs w:val="21"/>
        </w:rPr>
        <w:t xml:space="preserve">Acute Tox. 4, H332 — Вредно при вдыхании. Skin Sens. 1, H317 — Может вызывать аллергическую реакцию кожи. STOT SE 3, H335 — Может вызывать раздражение дыхательных путей.</w:t>
      </w:r>
    </w:p>
    <w:p>
      <w:pPr>
        <w:spacing w:after="60"/>
      </w:pPr>
      <w:r>
        <w:rPr>
          <w:b w:val="false"/>
          <w:bCs w:val="false"/>
          <w:i w:val="false"/>
          <w:iCs w:val="false"/>
          <w:sz w:val="21"/>
          <w:szCs w:val="21"/>
        </w:rPr>
        <w:t xml:space="preserve">Дополнительная информация: также см. паспорт безопасности компонента A.</w:t>
      </w:r>
    </w:p>
    <w:p>
      <w:pPr>
        <w:spacing w:after="60" w:before="120"/>
      </w:pPr>
      <w:r>
        <w:rPr>
          <w:b/>
          <w:bCs/>
          <w:sz w:val="21"/>
          <w:szCs w:val="21"/>
        </w:rPr>
        <w:t xml:space="preserve">2.2 Элементы маркировки</w:t>
      </w:r>
    </w:p>
    <w:p>
      <w:pPr>
        <w:spacing w:after="60"/>
      </w:pPr>
      <w:r>
        <w:rPr>
          <w:b w:val="false"/>
          <w:bCs w:val="false"/>
          <w:i w:val="false"/>
          <w:iCs w:val="false"/>
          <w:sz w:val="21"/>
          <w:szCs w:val="21"/>
        </w:rPr>
        <w:t xml:space="preserve">Продукт классифицирован и маркирован согласно регламенту GB CLP. Пиктограмма опасности: GHS07. Сигнальное слово: Внимание.</w:t>
      </w:r>
    </w:p>
    <w:p>
      <w:pPr>
        <w:spacing w:after="60"/>
      </w:pPr>
      <w:r>
        <w:rPr>
          <w:b w:val="false"/>
          <w:bCs w:val="false"/>
          <w:i w:val="false"/>
          <w:iCs w:val="false"/>
          <w:sz w:val="21"/>
          <w:szCs w:val="21"/>
        </w:rPr>
        <w:t xml:space="preserve">Компоненты, определяющие маркировку: 1,6-гексаметилендиизоцианат гомополимер.</w:t>
      </w:r>
    </w:p>
    <w:p>
      <w:pPr>
        <w:spacing w:after="60"/>
      </w:pPr>
      <w:r>
        <w:rPr>
          <w:b w:val="false"/>
          <w:bCs w:val="false"/>
          <w:i w:val="false"/>
          <w:iCs w:val="false"/>
          <w:sz w:val="21"/>
          <w:szCs w:val="21"/>
        </w:rPr>
        <w:t xml:space="preserve">Указания на опасность: H332 — Вредно при вдыхании. H317 — Может вызывать аллергическую реакцию кожи. H335 — Может вызывать раздражение дыхательных путей.</w:t>
      </w:r>
    </w:p>
    <w:p>
      <w:pPr>
        <w:spacing w:after="60"/>
      </w:pPr>
      <w:r>
        <w:rPr>
          <w:b w:val="false"/>
          <w:bCs w:val="false"/>
          <w:i w:val="false"/>
          <w:iCs w:val="false"/>
          <w:sz w:val="21"/>
          <w:szCs w:val="21"/>
        </w:rPr>
        <w:t xml:space="preserve">Меры предосторожности: P102 Хранить в недоступном для детей месте. P280 Использовать защитные перчатки/средства защиты глаз. P302+P352 ПРИ ПОПАДАНИИ НА КОЖУ: промыть большим количеством воды с мылом. P304+P340 ПРИ ВДЫХАНИИ: вывести пострадавшего на свежий воздух и обеспечить условия для комфортного дыхания. P305+P351+P338 ПРИ ПОПАДАНИИ В ГЛАЗА: осторожно промывать глаза водой в течение нескольких минут. Снять контактные линзы, если это легко сделать. Продолжить промывание. P333+P313 При раздражении или появлении сыпи на коже: обратиться за медицинской помощью. P337+P313 При продолжающемся раздражении глаз: обратиться за медицинской помощью. P342+P311 При появлении симптомов со стороны дыхательных путей: обратиться в токсикологический центр/к врачу.</w:t>
      </w:r>
    </w:p>
    <w:p>
      <w:pPr>
        <w:spacing w:after="60" w:before="120"/>
      </w:pPr>
      <w:r>
        <w:rPr>
          <w:b/>
          <w:bCs/>
          <w:sz w:val="21"/>
          <w:szCs w:val="21"/>
        </w:rPr>
        <w:t xml:space="preserve">2.3 Прочие опасности</w:t>
      </w:r>
    </w:p>
    <w:p>
      <w:pPr>
        <w:spacing w:after="60"/>
      </w:pPr>
      <w:r>
        <w:rPr>
          <w:b w:val="false"/>
          <w:bCs w:val="false"/>
          <w:i w:val="false"/>
          <w:iCs w:val="false"/>
          <w:sz w:val="21"/>
          <w:szCs w:val="21"/>
        </w:rPr>
        <w:t xml:space="preserve">СБТ: смесь не содержит компонентов, которые могут считаться стойкими, биоаккумулятивными и токсичными. оСБсБ: смесь не содержит компонентов, которые могут считаться очень стойкими и очень биоаккумулятивными, в концентрациях 0,1% и более. Смесь не содержит компонентов — эндокринных разрушителей в концентрациях 0,1% и более.</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3: Состав / информация о компонентах</w:t>
            </w:r>
          </w:p>
        </w:tc>
      </w:tr>
    </w:tbl>
    <w:p>
      <w:pPr>
        <w:spacing w:after="80"/>
      </w:pPr>
    </w:p>
    <w:p>
      <w:pPr>
        <w:spacing w:after="60" w:before="120"/>
      </w:pPr>
      <w:r>
        <w:rPr>
          <w:b/>
          <w:bCs/>
          <w:sz w:val="21"/>
          <w:szCs w:val="21"/>
        </w:rPr>
        <w:t xml:space="preserve">3.2 Смеси</w:t>
      </w:r>
    </w:p>
    <w:p>
      <w:pPr>
        <w:spacing w:after="60"/>
      </w:pPr>
      <w:r>
        <w:rPr>
          <w:b w:val="false"/>
          <w:bCs w:val="false"/>
          <w:i w:val="false"/>
          <w:iCs w:val="false"/>
          <w:sz w:val="21"/>
          <w:szCs w:val="21"/>
        </w:rPr>
        <w:t xml:space="preserve">Описание: 2-компонентная масляно-восковая комбинация с натуральным маслом и восками.</w:t>
      </w:r>
    </w:p>
    <w:p>
      <w:pPr>
        <w:spacing w:after="60" w:before="120"/>
      </w:pPr>
      <w:r>
        <w:rPr>
          <w:b/>
          <w:bCs/>
          <w:sz w:val="21"/>
          <w:szCs w:val="21"/>
        </w:rPr>
        <w:t xml:space="preserve">Опасные компоненты:</w:t>
      </w: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2476"/>
        <w:gridCol w:w="2476"/>
        <w:gridCol w:w="2476"/>
        <w:gridCol w:w="2476"/>
      </w:tblGrid>
      <w:tr>
        <w:trPr>
          <w:tblHeader/>
        </w:trPr>
        <w:tc>
          <w:tcPr>
            <w:tcW w:type="dxa" w:w="2476"/>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CAS / NLP / Рег. №</w:t>
            </w:r>
          </w:p>
        </w:tc>
        <w:tc>
          <w:tcPr>
            <w:tcW w:type="dxa" w:w="2476"/>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Название</w:t>
            </w:r>
          </w:p>
        </w:tc>
        <w:tc>
          <w:tcPr>
            <w:tcW w:type="dxa" w:w="2476"/>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Классификация</w:t>
            </w:r>
          </w:p>
        </w:tc>
        <w:tc>
          <w:tcPr>
            <w:tcW w:type="dxa" w:w="2476"/>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Конц.</w:t>
            </w:r>
          </w:p>
        </w:tc>
      </w:tr>
      <w:tr>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CAS: 28182-81-2
NLP: 500-060-2
Рег. №: 01-2119970543-34</w:t>
            </w:r>
          </w:p>
        </w:tc>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1,6-гексаметилендиизоцианат гомополимер</w:t>
            </w:r>
          </w:p>
        </w:tc>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Acute Tox. 4, H332; Skin Sens. 1, H317; STOT SE 3, H335, EUH204</w:t>
            </w:r>
          </w:p>
        </w:tc>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75-100%</w:t>
            </w:r>
          </w:p>
        </w:tc>
      </w:tr>
    </w:tbl>
    <w:p>
      <w:pPr>
        <w:spacing w:after="60"/>
      </w:pPr>
      <w:r>
        <w:rPr>
          <w:b w:val="false"/>
          <w:bCs w:val="false"/>
          <w:i w:val="false"/>
          <w:iCs w:val="false"/>
          <w:sz w:val="21"/>
          <w:szCs w:val="21"/>
        </w:rPr>
        <w:t xml:space="preserve">Дополнительная информация: формулировки указанных фраз опасности приведены в разделе 16.</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4: Меры первой помощи</w:t>
            </w:r>
          </w:p>
        </w:tc>
      </w:tr>
    </w:tbl>
    <w:p>
      <w:pPr>
        <w:spacing w:after="80"/>
      </w:pPr>
    </w:p>
    <w:p>
      <w:pPr>
        <w:spacing w:after="60" w:before="120"/>
      </w:pPr>
      <w:r>
        <w:rPr>
          <w:b/>
          <w:bCs/>
          <w:sz w:val="21"/>
          <w:szCs w:val="21"/>
        </w:rPr>
        <w:t xml:space="preserve">4.1 Описание мер первой помощи</w:t>
      </w:r>
    </w:p>
    <w:p>
      <w:pPr>
        <w:spacing w:after="60"/>
      </w:pPr>
      <w:r>
        <w:rPr>
          <w:b w:val="false"/>
          <w:bCs w:val="false"/>
          <w:i w:val="false"/>
          <w:iCs w:val="false"/>
          <w:sz w:val="21"/>
          <w:szCs w:val="21"/>
        </w:rPr>
        <w:t xml:space="preserve">Общие сведения: немедленно снять одежду, загрязнённую продуктом. Симптомы отравления могут проявиться даже спустя несколько часов, поэтому необходимо медицинское наблюдение не менее 48 часов после происшествия.</w:t>
      </w:r>
    </w:p>
    <w:p>
      <w:pPr>
        <w:spacing w:after="60"/>
      </w:pPr>
      <w:r>
        <w:rPr>
          <w:b w:val="false"/>
          <w:bCs w:val="false"/>
          <w:i w:val="false"/>
          <w:iCs w:val="false"/>
          <w:sz w:val="21"/>
          <w:szCs w:val="21"/>
        </w:rPr>
        <w:t xml:space="preserve">При вдыхании: обеспечить приток свежего воздуха; при жалобах обратиться к врачу. При необходимости провести искусственное дыхание. Согреть пострадавшего. При потере сознания уложить пострадавшего в устойчивое боковое положение для транспортировки.</w:t>
      </w:r>
    </w:p>
    <w:p>
      <w:pPr>
        <w:spacing w:after="60"/>
      </w:pPr>
      <w:r>
        <w:rPr>
          <w:b w:val="false"/>
          <w:bCs w:val="false"/>
          <w:i w:val="false"/>
          <w:iCs w:val="false"/>
          <w:sz w:val="21"/>
          <w:szCs w:val="21"/>
        </w:rPr>
        <w:t xml:space="preserve">При контакте с кожей: немедленно промыть водой с мылом и тщательно ополоснуть. Немедленно снять загрязнённую одежду и обувь, тщательно вымыть или очистить перед повторным использованием.</w:t>
      </w:r>
    </w:p>
    <w:p>
      <w:pPr>
        <w:spacing w:after="60"/>
      </w:pPr>
      <w:r>
        <w:rPr>
          <w:b w:val="false"/>
          <w:bCs w:val="false"/>
          <w:i w:val="false"/>
          <w:iCs w:val="false"/>
          <w:sz w:val="21"/>
          <w:szCs w:val="21"/>
        </w:rPr>
        <w:t xml:space="preserve">При контакте с глазами: промывать открытый глаз в течение нескольких минут под проточной водой. При сохранении симптомов обратиться к врачу.</w:t>
      </w:r>
    </w:p>
    <w:p>
      <w:pPr>
        <w:spacing w:after="60"/>
      </w:pPr>
      <w:r>
        <w:rPr>
          <w:b w:val="false"/>
          <w:bCs w:val="false"/>
          <w:i w:val="false"/>
          <w:iCs w:val="false"/>
          <w:sz w:val="21"/>
          <w:szCs w:val="21"/>
        </w:rPr>
        <w:t xml:space="preserve">При проглатывании: не вызывать рвоту; немедленно вызвать врача. Пострадавшего в положении лёжа на спине при начавшейся рвоте повернуть на бок. Тщательно очистить рот и прополоскать водой.</w:t>
      </w:r>
    </w:p>
    <w:p>
      <w:pPr>
        <w:spacing w:after="60" w:before="120"/>
      </w:pPr>
      <w:r>
        <w:rPr>
          <w:b/>
          <w:bCs/>
          <w:sz w:val="21"/>
          <w:szCs w:val="21"/>
        </w:rPr>
        <w:t xml:space="preserve">4.2 Наиболее важные симптомы и эффекты, острые и отсроченные</w:t>
      </w:r>
    </w:p>
    <w:p>
      <w:pPr>
        <w:spacing w:after="60"/>
      </w:pPr>
      <w:r>
        <w:rPr>
          <w:b w:val="false"/>
          <w:bCs w:val="false"/>
          <w:i w:val="false"/>
          <w:iCs w:val="false"/>
          <w:sz w:val="21"/>
          <w:szCs w:val="21"/>
        </w:rPr>
        <w:t xml:space="preserve">Аллергические реакции. Продукт раздражает и вызывает сенсибилизацию при вдыхании: повторное вдыхание концентраций паров или аэрозолей выше предельного значения может вызвать сенсибилизацию дыхательных путей. Возможные симптомы: раздражение глаз, носа, горла и лёгких, сухость в горле, стеснение в груди, затруднённое дыхание.</w:t>
      </w:r>
    </w:p>
    <w:p>
      <w:pPr>
        <w:spacing w:after="60" w:before="120"/>
      </w:pPr>
      <w:r>
        <w:rPr>
          <w:b/>
          <w:bCs/>
          <w:sz w:val="21"/>
          <w:szCs w:val="21"/>
        </w:rPr>
        <w:t xml:space="preserve">4.3 Указание на необходимость немедленной медицинской помощи и специального лечения</w:t>
      </w:r>
    </w:p>
    <w:p>
      <w:pPr>
        <w:spacing w:after="60"/>
      </w:pPr>
      <w:r>
        <w:rPr>
          <w:b w:val="false"/>
          <w:bCs w:val="false"/>
          <w:i w:val="false"/>
          <w:iCs w:val="false"/>
          <w:sz w:val="21"/>
          <w:szCs w:val="21"/>
        </w:rPr>
        <w:t xml:space="preserve">Симптомы отравления могут проявиться даже спустя несколько часов; необходимо медицинское наблюдение не менее 48 часов после происшествия. Также см. паспорт безопасности компонента A.</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5: Меры пожаротушения</w:t>
            </w:r>
          </w:p>
        </w:tc>
      </w:tr>
    </w:tbl>
    <w:p>
      <w:pPr>
        <w:spacing w:after="80"/>
      </w:pPr>
    </w:p>
    <w:p>
      <w:pPr>
        <w:spacing w:after="60" w:before="120"/>
      </w:pPr>
      <w:r>
        <w:rPr>
          <w:b/>
          <w:bCs/>
          <w:sz w:val="21"/>
          <w:szCs w:val="21"/>
        </w:rPr>
        <w:t xml:space="preserve">5.1 Средства пожаротушения</w:t>
      </w:r>
    </w:p>
    <w:p>
      <w:pPr>
        <w:spacing w:after="60"/>
      </w:pPr>
      <w:r>
        <w:rPr>
          <w:b w:val="false"/>
          <w:bCs w:val="false"/>
          <w:i w:val="false"/>
          <w:iCs w:val="false"/>
          <w:sz w:val="21"/>
          <w:szCs w:val="21"/>
        </w:rPr>
        <w:t xml:space="preserve">Подходящие средства: CO₂, порошок или распылённая вода. Крупные пожары тушить распылённой водой или пеной, устойчивой к спирту.</w:t>
      </w:r>
    </w:p>
    <w:p>
      <w:pPr>
        <w:spacing w:after="60"/>
      </w:pPr>
      <w:r>
        <w:rPr>
          <w:b w:val="false"/>
          <w:bCs w:val="false"/>
          <w:i w:val="false"/>
          <w:iCs w:val="false"/>
          <w:sz w:val="21"/>
          <w:szCs w:val="21"/>
        </w:rPr>
        <w:t xml:space="preserve">Непригодные по соображениям безопасности: вода в виде компактной струи.</w:t>
      </w:r>
    </w:p>
    <w:p>
      <w:pPr>
        <w:spacing w:after="60" w:before="120"/>
      </w:pPr>
      <w:r>
        <w:rPr>
          <w:b/>
          <w:bCs/>
          <w:sz w:val="21"/>
          <w:szCs w:val="21"/>
        </w:rPr>
        <w:t xml:space="preserve">5.2 Особые опасности, исходящие от вещества или смеси</w:t>
      </w:r>
    </w:p>
    <w:p>
      <w:pPr>
        <w:spacing w:after="60"/>
      </w:pPr>
      <w:r>
        <w:rPr>
          <w:b w:val="false"/>
          <w:bCs w:val="false"/>
          <w:i w:val="false"/>
          <w:iCs w:val="false"/>
          <w:sz w:val="21"/>
          <w:szCs w:val="21"/>
        </w:rPr>
        <w:t xml:space="preserve">Под воздействием тепла давление в плотно закрытых ёмкостях может повышаться. Вдыхание продуктов разложения может причинить вред здоровью.</w:t>
      </w:r>
    </w:p>
    <w:p>
      <w:pPr>
        <w:spacing w:after="60" w:before="120"/>
      </w:pPr>
      <w:r>
        <w:rPr>
          <w:b/>
          <w:bCs/>
          <w:sz w:val="21"/>
          <w:szCs w:val="21"/>
        </w:rPr>
        <w:t xml:space="preserve">5.3 Рекомендации для пожарных</w:t>
      </w:r>
    </w:p>
    <w:p>
      <w:pPr>
        <w:spacing w:after="60"/>
      </w:pPr>
      <w:r>
        <w:rPr>
          <w:b w:val="false"/>
          <w:bCs w:val="false"/>
          <w:i w:val="false"/>
          <w:iCs w:val="false"/>
          <w:sz w:val="21"/>
          <w:szCs w:val="21"/>
        </w:rPr>
        <w:t xml:space="preserve">Средства защиты: респиратор для защиты органов дыхания. Охлаждать ёмкости, находящиеся под угрозой, распылённой водой. Утилизировать остатки пожара и загрязнённую воду от тушения в соответствии с официальными предписаниями; собирать её отдельно, не допуская попадания в канализацию.</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6: Меры при случайном высвобождении</w:t>
            </w:r>
          </w:p>
        </w:tc>
      </w:tr>
    </w:tbl>
    <w:p>
      <w:pPr>
        <w:spacing w:after="80"/>
      </w:pPr>
    </w:p>
    <w:p>
      <w:pPr>
        <w:spacing w:after="60" w:before="120"/>
      </w:pPr>
      <w:r>
        <w:rPr>
          <w:b/>
          <w:bCs/>
          <w:sz w:val="21"/>
          <w:szCs w:val="21"/>
        </w:rPr>
        <w:t xml:space="preserve">6.1 Меры предосторожности для персонала, средства защиты и порядок действий в чрезвычайной ситуации</w:t>
      </w:r>
    </w:p>
    <w:p>
      <w:pPr>
        <w:spacing w:after="60"/>
      </w:pPr>
      <w:r>
        <w:rPr>
          <w:b w:val="false"/>
          <w:bCs w:val="false"/>
          <w:i w:val="false"/>
          <w:iCs w:val="false"/>
          <w:sz w:val="21"/>
          <w:szCs w:val="21"/>
        </w:rPr>
        <w:t xml:space="preserve">Использовать средства защиты. Не допускать незащищённых лиц.</w:t>
      </w:r>
    </w:p>
    <w:p>
      <w:pPr>
        <w:spacing w:after="60" w:before="120"/>
      </w:pPr>
      <w:r>
        <w:rPr>
          <w:b/>
          <w:bCs/>
          <w:sz w:val="21"/>
          <w:szCs w:val="21"/>
        </w:rPr>
        <w:t xml:space="preserve">6.2 Меры предосторожности для окружающей среды</w:t>
      </w:r>
    </w:p>
    <w:p>
      <w:pPr>
        <w:spacing w:after="60"/>
      </w:pPr>
      <w:r>
        <w:rPr>
          <w:b w:val="false"/>
          <w:bCs w:val="false"/>
          <w:i w:val="false"/>
          <w:iCs w:val="false"/>
          <w:sz w:val="21"/>
          <w:szCs w:val="21"/>
        </w:rPr>
        <w:t xml:space="preserve">Не допускать попадания в канализацию, поверхностные или грунтовые воды. При попадании в водоём или канализацию проинформировать соответствующие органы. Собирать загрязнённую воду после мытья и утилизировать надлежащим образом. При попадании в грунт проинформировать ответственные органы.</w:t>
      </w:r>
    </w:p>
    <w:p>
      <w:pPr>
        <w:spacing w:after="60" w:before="120"/>
      </w:pPr>
      <w:r>
        <w:rPr>
          <w:b/>
          <w:bCs/>
          <w:sz w:val="21"/>
          <w:szCs w:val="21"/>
        </w:rPr>
        <w:t xml:space="preserve">6.3 Методы и материалы для локализации и очистки</w:t>
      </w:r>
    </w:p>
    <w:p>
      <w:pPr>
        <w:spacing w:after="60"/>
      </w:pPr>
      <w:r>
        <w:rPr>
          <w:b w:val="false"/>
          <w:bCs w:val="false"/>
          <w:i w:val="false"/>
          <w:iCs w:val="false"/>
          <w:sz w:val="21"/>
          <w:szCs w:val="21"/>
        </w:rPr>
        <w:t xml:space="preserve">Впитать жидкосвязывающим материалом (песок, диатомит, кислотосвязывающие вещества, универсальные сорбенты, опилки). Утилизировать загрязнённый материал согласно разделу 13.</w:t>
      </w:r>
    </w:p>
    <w:p>
      <w:pPr>
        <w:spacing w:after="60" w:before="120"/>
      </w:pPr>
      <w:r>
        <w:rPr>
          <w:b/>
          <w:bCs/>
          <w:sz w:val="21"/>
          <w:szCs w:val="21"/>
        </w:rPr>
        <w:t xml:space="preserve">6.4 Ссылка на другие разделы</w:t>
      </w:r>
    </w:p>
    <w:p>
      <w:pPr>
        <w:spacing w:after="60"/>
      </w:pPr>
      <w:r>
        <w:rPr>
          <w:b w:val="false"/>
          <w:bCs w:val="false"/>
          <w:i w:val="false"/>
          <w:iCs w:val="false"/>
          <w:sz w:val="21"/>
          <w:szCs w:val="21"/>
        </w:rPr>
        <w:t xml:space="preserve">См. раздел 7 (безопасное обращение), раздел 8 (СИЗ), раздел 13 (утилизация).</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7: Обращение и хранение</w:t>
            </w:r>
          </w:p>
        </w:tc>
      </w:tr>
    </w:tbl>
    <w:p>
      <w:pPr>
        <w:spacing w:after="80"/>
      </w:pPr>
    </w:p>
    <w:p>
      <w:pPr>
        <w:spacing w:after="60" w:before="120"/>
      </w:pPr>
      <w:r>
        <w:rPr>
          <w:b/>
          <w:bCs/>
          <w:sz w:val="21"/>
          <w:szCs w:val="21"/>
        </w:rPr>
        <w:t xml:space="preserve">7.1 Меры предосторожности для безопасного обращения</w:t>
      </w:r>
    </w:p>
    <w:p>
      <w:pPr>
        <w:spacing w:after="60"/>
      </w:pPr>
      <w:r>
        <w:rPr>
          <w:b w:val="false"/>
          <w:bCs w:val="false"/>
          <w:i w:val="false"/>
          <w:iCs w:val="false"/>
          <w:sz w:val="21"/>
          <w:szCs w:val="21"/>
        </w:rPr>
        <w:t xml:space="preserve">Носить подходящую защитную одежду, перчатки и средства защиты глаз/лица. Немедленно снимать всю загрязнённую одежду. Избегать контакта с глазами и кожей. Держать вдали от пищевых продуктов, напитков и корма. Не принимать пищу и не пить во время работы. Лица, имеющие в анамнезе астму, аллергии, хронические или рецидивирующие заболевания дыхательных путей, не должны быть заняты в процессах, где используется данный продукт. Мыть руки перед перерывами и по окончании работы.</w:t>
      </w:r>
    </w:p>
    <w:p>
      <w:pPr>
        <w:spacing w:after="60"/>
      </w:pPr>
      <w:r>
        <w:rPr>
          <w:b w:val="false"/>
          <w:bCs w:val="false"/>
          <w:i w:val="false"/>
          <w:iCs w:val="false"/>
          <w:sz w:val="21"/>
          <w:szCs w:val="21"/>
        </w:rPr>
        <w:t xml:space="preserve">Информация о противопожарной и взрывозащите: особые меры не требуются.</w:t>
      </w:r>
    </w:p>
    <w:p>
      <w:pPr>
        <w:spacing w:after="60" w:before="120"/>
      </w:pPr>
      <w:r>
        <w:rPr>
          <w:b/>
          <w:bCs/>
          <w:sz w:val="21"/>
          <w:szCs w:val="21"/>
        </w:rPr>
        <w:t xml:space="preserve">7.2 Условия безопасного хранения с учётом несовместимости</w:t>
      </w:r>
    </w:p>
    <w:p>
      <w:pPr>
        <w:spacing w:after="60"/>
      </w:pPr>
      <w:r>
        <w:rPr>
          <w:b w:val="false"/>
          <w:bCs w:val="false"/>
          <w:i w:val="false"/>
          <w:iCs w:val="false"/>
          <w:sz w:val="21"/>
          <w:szCs w:val="21"/>
        </w:rPr>
        <w:t xml:space="preserve">Требования к складским помещениям и ёмкостям: особых требований нет. Совместное хранение: не требуется. Держать ёмкость плотно закрытой. Беречь от мороза. Открытую упаковку с неиспользованным остатком хранить в герметичных условиях.</w:t>
      </w:r>
    </w:p>
    <w:p>
      <w:pPr>
        <w:spacing w:after="60" w:before="120"/>
      </w:pPr>
      <w:r>
        <w:rPr>
          <w:b/>
          <w:bCs/>
          <w:sz w:val="21"/>
          <w:szCs w:val="21"/>
        </w:rPr>
        <w:t xml:space="preserve">7.3 Конкретные конечные применения</w:t>
      </w:r>
    </w:p>
    <w:p>
      <w:pPr>
        <w:spacing w:after="60"/>
      </w:pPr>
      <w:r>
        <w:rPr>
          <w:b w:val="false"/>
          <w:bCs w:val="false"/>
          <w:i w:val="false"/>
          <w:iCs w:val="false"/>
          <w:sz w:val="21"/>
          <w:szCs w:val="21"/>
        </w:rPr>
        <w:t xml:space="preserve">Дополнительная значимая информация отсутствует.</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8: Контроль воздействия / средства индивидуальной защиты</w:t>
            </w:r>
          </w:p>
        </w:tc>
      </w:tr>
    </w:tbl>
    <w:p>
      <w:pPr>
        <w:spacing w:after="80"/>
      </w:pPr>
    </w:p>
    <w:p>
      <w:pPr>
        <w:spacing w:after="60" w:before="120"/>
      </w:pPr>
      <w:r>
        <w:rPr>
          <w:b/>
          <w:bCs/>
          <w:sz w:val="21"/>
          <w:szCs w:val="21"/>
        </w:rPr>
        <w:t xml:space="preserve">8.1 Параметры контроля</w:t>
      </w:r>
    </w:p>
    <w:p>
      <w:pPr>
        <w:spacing w:after="60"/>
      </w:pPr>
      <w:r>
        <w:rPr>
          <w:b w:val="false"/>
          <w:bCs w:val="false"/>
          <w:i w:val="false"/>
          <w:iCs w:val="false"/>
          <w:sz w:val="21"/>
          <w:szCs w:val="21"/>
        </w:rPr>
        <w:t xml:space="preserve">Компоненты с предельными значениями, подлежащими контролю на рабочем месте:</w:t>
      </w: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3302"/>
        <w:gridCol w:w="3302"/>
        <w:gridCol w:w="3302"/>
      </w:tblGrid>
      <w:tr>
        <w:trPr>
          <w:tblHeader/>
        </w:trPr>
        <w:tc>
          <w:tcPr>
            <w:tcW w:type="dxa" w:w="3302"/>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CAS</w:t>
            </w:r>
          </w:p>
        </w:tc>
        <w:tc>
          <w:tcPr>
            <w:tcW w:type="dxa" w:w="3302"/>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Компонент</w:t>
            </w:r>
          </w:p>
        </w:tc>
        <w:tc>
          <w:tcPr>
            <w:tcW w:type="dxa" w:w="3302"/>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Значения</w:t>
            </w:r>
          </w:p>
        </w:tc>
      </w:tr>
      <w:tr>
        <w:tc>
          <w:tcPr>
            <w:tcW w:type="dxa" w:w="3302"/>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28182-81-2</w:t>
            </w:r>
          </w:p>
        </w:tc>
        <w:tc>
          <w:tcPr>
            <w:tcW w:type="dxa" w:w="3302"/>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1,6-гексаметилендиизоцианат гомополимер</w:t>
            </w:r>
          </w:p>
        </w:tc>
        <w:tc>
          <w:tcPr>
            <w:tcW w:type="dxa" w:w="3302"/>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WEL (Великобритания): кратковременное значение 0,07 мг/м³, долгосрочное 0,02 мг/м³ (в пересчёте на -NCO). BOELV (ЕС): кратковременное 0,012 (0,020)* мг/м³, долгосрочное 0,006 (0,010)* мг/м³ (в пересчёте на -NCO); *до 31.12.2028</w:t>
            </w:r>
          </w:p>
        </w:tc>
      </w:tr>
    </w:tbl>
    <w:p>
      <w:pPr>
        <w:spacing w:after="60"/>
      </w:pPr>
      <w:r>
        <w:rPr>
          <w:b w:val="false"/>
          <w:bCs w:val="false"/>
          <w:i w:val="false"/>
          <w:iCs w:val="false"/>
          <w:sz w:val="21"/>
          <w:szCs w:val="21"/>
        </w:rPr>
        <w:t xml:space="preserve">Регуляторная информация: WEL (Великобритания): EH40/2020; BOELV (ЕС): EU 2024/869.</w:t>
      </w:r>
    </w:p>
    <w:p>
      <w:pPr>
        <w:spacing w:after="60"/>
      </w:pPr>
      <w:r>
        <w:rPr>
          <w:b w:val="false"/>
          <w:bCs w:val="false"/>
          <w:i w:val="false"/>
          <w:iCs w:val="false"/>
          <w:sz w:val="21"/>
          <w:szCs w:val="21"/>
        </w:rPr>
        <w:t xml:space="preserve">DNEL: ингаляционный, острый эффект — 1 мг/м³ (работник); долгосрочный эффект — 0,5 мг/м³ (работник).</w:t>
      </w:r>
    </w:p>
    <w:p>
      <w:pPr>
        <w:spacing w:after="60"/>
      </w:pPr>
      <w:r>
        <w:rPr>
          <w:b w:val="false"/>
          <w:bCs w:val="false"/>
          <w:i w:val="false"/>
          <w:iCs w:val="false"/>
          <w:sz w:val="21"/>
          <w:szCs w:val="21"/>
        </w:rPr>
        <w:t xml:space="preserve">PNEC: морская вода — 12,7 мкг/л (Daphnia magna); пресная вода — 127 мкг/л (Daphnia magna); донные отложения — 266,7 мг/кг (пресная вода).</w:t>
      </w:r>
    </w:p>
    <w:p>
      <w:pPr>
        <w:spacing w:after="60"/>
      </w:pPr>
      <w:r>
        <w:rPr>
          <w:b w:val="false"/>
          <w:bCs w:val="false"/>
          <w:i w:val="false"/>
          <w:iCs w:val="false"/>
          <w:sz w:val="21"/>
          <w:szCs w:val="21"/>
        </w:rPr>
        <w:t xml:space="preserve">Биологические предельные значения: BMGV (Великобритания) — 1 мкмоль креатинина/моль (моча, проба в конце периода воздействия, параметр — изоцианат-производный диамин); регуляторная информация: EH40/2020.</w:t>
      </w:r>
    </w:p>
    <w:p>
      <w:pPr>
        <w:spacing w:after="60" w:before="120"/>
      </w:pPr>
      <w:r>
        <w:rPr>
          <w:b/>
          <w:bCs/>
          <w:sz w:val="21"/>
          <w:szCs w:val="21"/>
        </w:rPr>
        <w:t xml:space="preserve">8.2 Контроль воздействия</w:t>
      </w:r>
    </w:p>
    <w:p>
      <w:pPr>
        <w:spacing w:after="60"/>
      </w:pPr>
      <w:r>
        <w:rPr>
          <w:b w:val="false"/>
          <w:bCs w:val="false"/>
          <w:i w:val="false"/>
          <w:iCs w:val="false"/>
          <w:sz w:val="21"/>
          <w:szCs w:val="21"/>
        </w:rPr>
        <w:t xml:space="preserve">Общие защитные и гигиенические меры: соблюдать обычные меры предосторожности при работе с химикатами. Немедленно снимать загрязнённую одежду. Избегать контакта с глазами и кожей. Носить подходящую защитную одежду, перчатки и средства защиты глаз/лица. Держать вдали от пищевых продуктов, напитков и корма. Также см. паспорт безопасности компонента A. Мыть руки перед перерывами и по окончании работы.</w:t>
      </w:r>
    </w:p>
    <w:p>
      <w:pPr>
        <w:spacing w:after="60"/>
      </w:pPr>
      <w:r>
        <w:rPr>
          <w:b w:val="false"/>
          <w:bCs w:val="false"/>
          <w:i w:val="false"/>
          <w:iCs w:val="false"/>
          <w:sz w:val="21"/>
          <w:szCs w:val="21"/>
        </w:rPr>
        <w:t xml:space="preserve">Защита органов дыхания: не требуется. Обеспечить хорошую вентиляцию помещения при обработке. При гиперчувствительности дыхательных путей работа с продуктом не рекомендуется. В недостаточно вентилируемых помещениях требуется защита органов дыхания: маска с подачей воздуха или, для кратковременных работ, комбинация угольного и аэрозольного фильтра (A2-P2).</w:t>
      </w:r>
    </w:p>
    <w:p>
      <w:pPr>
        <w:spacing w:after="60" w:before="120"/>
      </w:pPr>
      <w:r>
        <w:rPr>
          <w:b/>
          <w:bCs/>
          <w:sz w:val="21"/>
          <w:szCs w:val="21"/>
        </w:rPr>
        <w:t xml:space="preserve">Защита рук</w:t>
      </w:r>
    </w:p>
    <w:p>
      <w:pPr>
        <w:spacing w:after="60"/>
      </w:pPr>
      <w:r>
        <w:rPr>
          <w:b w:val="false"/>
          <w:bCs w:val="false"/>
          <w:i w:val="false"/>
          <w:iCs w:val="false"/>
          <w:sz w:val="21"/>
          <w:szCs w:val="21"/>
        </w:rPr>
        <w:t xml:space="preserve">Использовать перчатки из стабильного материала (например, нитрил), при необходимости трикотажные для улучшения носибельности (EN 374). При работе со свежепроизведёнными полиуретановыми продуктами надевать защитные перчатки во избежание контакта кожи со следами остатков. Перчатки утилизировать немедленно при сильном загрязнении, попадании брызг, но не позднее конца смены. Для очистки кожи использовать только воду и мягкое мыло или pH-нейтральное средство, не использовать растворители.</w:t>
      </w:r>
    </w:p>
    <w:p>
      <w:pPr>
        <w:spacing w:after="60"/>
      </w:pPr>
      <w:r>
        <w:rPr>
          <w:b w:val="false"/>
          <w:bCs w:val="false"/>
          <w:i w:val="false"/>
          <w:iCs w:val="false"/>
          <w:sz w:val="21"/>
          <w:szCs w:val="21"/>
        </w:rPr>
        <w:t xml:space="preserve">Материал перчаток: бутилкаучук (0,7 мм), нитрильный каучук (0,4 мм), хлоропрен (0,5 мм). Время проницаемости: не менее 480 минут, точное значение устанавливает производитель перчаток.</w:t>
      </w:r>
    </w:p>
    <w:p>
      <w:pPr>
        <w:spacing w:after="60" w:before="120"/>
      </w:pPr>
      <w:r>
        <w:rPr>
          <w:b/>
          <w:bCs/>
          <w:sz w:val="21"/>
          <w:szCs w:val="21"/>
        </w:rPr>
        <w:t xml:space="preserve">Защита глаз/лица</w:t>
      </w:r>
    </w:p>
    <w:p>
      <w:pPr>
        <w:spacing w:after="60"/>
      </w:pPr>
      <w:r>
        <w:rPr>
          <w:b w:val="false"/>
          <w:bCs w:val="false"/>
          <w:i w:val="false"/>
          <w:iCs w:val="false"/>
          <w:sz w:val="21"/>
          <w:szCs w:val="21"/>
        </w:rPr>
        <w:t xml:space="preserve">Защитные очки (EN 166).</w:t>
      </w:r>
    </w:p>
    <w:p>
      <w:pPr>
        <w:spacing w:after="60" w:before="120"/>
      </w:pPr>
      <w:r>
        <w:rPr>
          <w:b/>
          <w:bCs/>
          <w:sz w:val="21"/>
          <w:szCs w:val="21"/>
        </w:rPr>
        <w:t xml:space="preserve">Защита тела</w:t>
      </w:r>
    </w:p>
    <w:p>
      <w:pPr>
        <w:spacing w:after="60"/>
      </w:pPr>
      <w:r>
        <w:rPr>
          <w:b w:val="false"/>
          <w:bCs w:val="false"/>
          <w:i w:val="false"/>
          <w:iCs w:val="false"/>
          <w:sz w:val="21"/>
          <w:szCs w:val="21"/>
        </w:rPr>
        <w:t xml:space="preserve">Химически стойкая защитная одежда. При гиперчувствительности кожи работа с продуктом не рекомендуется.</w:t>
      </w:r>
    </w:p>
    <w:p>
      <w:pPr>
        <w:spacing w:after="60" w:before="120"/>
      </w:pPr>
      <w:r>
        <w:rPr>
          <w:b/>
          <w:bCs/>
          <w:sz w:val="21"/>
          <w:szCs w:val="21"/>
        </w:rPr>
        <w:t xml:space="preserve">Прочее</w:t>
      </w:r>
    </w:p>
    <w:p>
      <w:pPr>
        <w:spacing w:after="60"/>
      </w:pPr>
      <w:r>
        <w:rPr>
          <w:b w:val="false"/>
          <w:bCs w:val="false"/>
          <w:i w:val="false"/>
          <w:iCs w:val="false"/>
          <w:sz w:val="21"/>
          <w:szCs w:val="21"/>
        </w:rPr>
        <w:t xml:space="preserve">СИЗ: подходящие защитные перчатки, защитные очки и защитная одежда. Обеспечить наличие поблизости станций для промывки глаз и аварийного душа.</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9: Физические и химические свойства</w:t>
            </w:r>
          </w:p>
        </w:tc>
      </w:tr>
    </w:tbl>
    <w:p>
      <w:pPr>
        <w:spacing w:after="80"/>
      </w:pPr>
    </w:p>
    <w:p>
      <w:pPr>
        <w:spacing w:after="60" w:before="120"/>
      </w:pPr>
      <w:r>
        <w:rPr>
          <w:b/>
          <w:bCs/>
          <w:sz w:val="21"/>
          <w:szCs w:val="21"/>
        </w:rPr>
        <w:t xml:space="preserve">9.1 Информация об основных физических и химических свойствах</w:t>
      </w: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4953"/>
        <w:gridCol w:w="4953"/>
      </w:tblGrid>
      <w:tr>
        <w:trPr>
          <w:tblHeader/>
        </w:trPr>
        <w:tc>
          <w:tcPr>
            <w:tcW w:type="dxa" w:w="4953"/>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Параметр</w:t>
            </w:r>
          </w:p>
        </w:tc>
        <w:tc>
          <w:tcPr>
            <w:tcW w:type="dxa" w:w="4953"/>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Значение</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Физическое состояние</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Жидкость</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Цвет</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Желтоватый</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Запах</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Слабый, характерный</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Точка плавления/замерзания</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определена</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Точка кипения</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определена</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Воспламеняемость</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применимо</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Температура вспышки</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&gt;200 °C</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Температура самовоспламенения</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~440 °C</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pH</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определён</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Динамическая вязкость при 20 °C</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~960 мПа·с</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Растворимость в воде</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смешивается или трудно смешивается</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Давление пара при 50 °C</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0,00001 гПа</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Плотность при 20 °C</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1,15 г/см³</w:t>
            </w:r>
          </w:p>
        </w:tc>
      </w:tr>
    </w:tbl>
    <w:p>
      <w:pPr>
        <w:spacing w:after="60" w:before="120"/>
      </w:pPr>
      <w:r>
        <w:rPr>
          <w:b/>
          <w:bCs/>
          <w:sz w:val="21"/>
          <w:szCs w:val="21"/>
        </w:rPr>
        <w:t xml:space="preserve">9.2 Прочая информация</w:t>
      </w:r>
    </w:p>
    <w:p>
      <w:pPr>
        <w:spacing w:after="60"/>
      </w:pPr>
      <w:r>
        <w:rPr>
          <w:b w:val="false"/>
          <w:bCs w:val="false"/>
          <w:i w:val="false"/>
          <w:iCs w:val="false"/>
          <w:sz w:val="21"/>
          <w:szCs w:val="21"/>
        </w:rPr>
        <w:t xml:space="preserve">Форма: текучая жидкость. Температура воспламенения: см. также паспорт безопасности компонента A. Взрывоопасные свойства: продукт не представляет взрывоопасности.</w:t>
      </w:r>
    </w:p>
    <w:p>
      <w:pPr>
        <w:spacing w:after="60"/>
      </w:pPr>
      <w:r>
        <w:rPr>
          <w:b w:val="false"/>
          <w:bCs w:val="false"/>
          <w:i w:val="false"/>
          <w:iCs w:val="false"/>
          <w:sz w:val="21"/>
          <w:szCs w:val="21"/>
        </w:rPr>
        <w:t xml:space="preserve">Информация в отношении классов физической опасности: все классы физической опасности (взрывчатые вещества, легковоспламеняющиеся газы, аэрозоли, окисляющие газы, газы под давлением, легковоспламеняющиеся жидкости/твёрдые вещества, саморазлагающиеся вещества, пирофорные жидкости/твёрдые вещества, самонагревающиеся вещества, вещества, выделяющие горючие газы при контакте с водой, окисляющие жидкости/твёрдые вещества, органические пероксиды, коррозионность в отношении металлов, десенсибилизированные взрывчатые вещества) — отсутствуют.</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10: Стабильность и реакционная способность</w:t>
            </w:r>
          </w:p>
        </w:tc>
      </w:tr>
    </w:tbl>
    <w:p>
      <w:pPr>
        <w:spacing w:after="80"/>
      </w:pPr>
    </w:p>
    <w:p>
      <w:pPr>
        <w:spacing w:after="60" w:before="120"/>
      </w:pPr>
      <w:r>
        <w:rPr>
          <w:b/>
          <w:bCs/>
          <w:sz w:val="21"/>
          <w:szCs w:val="21"/>
        </w:rPr>
        <w:t xml:space="preserve">10.1 Реакционная способность</w:t>
      </w:r>
    </w:p>
    <w:p>
      <w:pPr>
        <w:spacing w:after="60"/>
      </w:pPr>
      <w:r>
        <w:rPr>
          <w:b w:val="false"/>
          <w:bCs w:val="false"/>
          <w:i w:val="false"/>
          <w:iCs w:val="false"/>
          <w:sz w:val="21"/>
          <w:szCs w:val="21"/>
        </w:rPr>
        <w:t xml:space="preserve">Дополнительная значимая информация отсутствует.</w:t>
      </w:r>
    </w:p>
    <w:p>
      <w:pPr>
        <w:spacing w:after="60" w:before="120"/>
      </w:pPr>
      <w:r>
        <w:rPr>
          <w:b/>
          <w:bCs/>
          <w:sz w:val="21"/>
          <w:szCs w:val="21"/>
        </w:rPr>
        <w:t xml:space="preserve">10.2 Химическая стабильность</w:t>
      </w:r>
    </w:p>
    <w:p>
      <w:pPr>
        <w:spacing w:after="60"/>
      </w:pPr>
      <w:r>
        <w:rPr>
          <w:b w:val="false"/>
          <w:bCs w:val="false"/>
          <w:i w:val="false"/>
          <w:iCs w:val="false"/>
          <w:sz w:val="21"/>
          <w:szCs w:val="21"/>
        </w:rPr>
        <w:t xml:space="preserve">Стабилен при нормальных условиях. Термическое разложение: разложение не происходит при использовании по назначению.</w:t>
      </w:r>
    </w:p>
    <w:p>
      <w:pPr>
        <w:spacing w:after="60" w:before="120"/>
      </w:pPr>
      <w:r>
        <w:rPr>
          <w:b/>
          <w:bCs/>
          <w:sz w:val="21"/>
          <w:szCs w:val="21"/>
        </w:rPr>
        <w:t xml:space="preserve">10.3 Возможность опасных реакций</w:t>
      </w:r>
    </w:p>
    <w:p>
      <w:pPr>
        <w:spacing w:after="60"/>
      </w:pPr>
      <w:r>
        <w:rPr>
          <w:b w:val="false"/>
          <w:bCs w:val="false"/>
          <w:i w:val="false"/>
          <w:iCs w:val="false"/>
          <w:sz w:val="21"/>
          <w:szCs w:val="21"/>
        </w:rPr>
        <w:t xml:space="preserve">Опасные реакции не известны.</w:t>
      </w:r>
    </w:p>
    <w:p>
      <w:pPr>
        <w:spacing w:after="60" w:before="120"/>
      </w:pPr>
      <w:r>
        <w:rPr>
          <w:b/>
          <w:bCs/>
          <w:sz w:val="21"/>
          <w:szCs w:val="21"/>
        </w:rPr>
        <w:t xml:space="preserve">10.4–10.5</w:t>
      </w:r>
    </w:p>
    <w:p>
      <w:pPr>
        <w:spacing w:after="60"/>
      </w:pPr>
      <w:r>
        <w:rPr>
          <w:b w:val="false"/>
          <w:bCs w:val="false"/>
          <w:i w:val="false"/>
          <w:iCs w:val="false"/>
          <w:sz w:val="21"/>
          <w:szCs w:val="21"/>
        </w:rPr>
        <w:t xml:space="preserve">Условия, которых следует избегать, и несовместимые материалы: дополнительная значимая информация отсутствует.</w:t>
      </w:r>
    </w:p>
    <w:p>
      <w:pPr>
        <w:spacing w:after="60" w:before="120"/>
      </w:pPr>
      <w:r>
        <w:rPr>
          <w:b/>
          <w:bCs/>
          <w:sz w:val="21"/>
          <w:szCs w:val="21"/>
        </w:rPr>
        <w:t xml:space="preserve">10.6 Опасные продукты разложения</w:t>
      </w:r>
    </w:p>
    <w:p>
      <w:pPr>
        <w:spacing w:after="60"/>
      </w:pPr>
      <w:r>
        <w:rPr>
          <w:b w:val="false"/>
          <w:bCs w:val="false"/>
          <w:i w:val="false"/>
          <w:iCs w:val="false"/>
          <w:sz w:val="21"/>
          <w:szCs w:val="21"/>
        </w:rPr>
        <w:t xml:space="preserve">Опасные продукты разложения не известны.</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11: Токсикологическая информация</w:t>
            </w:r>
          </w:p>
        </w:tc>
      </w:tr>
    </w:tbl>
    <w:p>
      <w:pPr>
        <w:spacing w:after="80"/>
      </w:pPr>
    </w:p>
    <w:p>
      <w:pPr>
        <w:spacing w:after="60" w:before="120"/>
      </w:pPr>
      <w:r>
        <w:rPr>
          <w:b/>
          <w:bCs/>
          <w:sz w:val="21"/>
          <w:szCs w:val="21"/>
        </w:rPr>
        <w:t xml:space="preserve">11.1 Информация о классах опасности согласно Регламенту (ЕС) № 1272/2008</w:t>
      </w:r>
    </w:p>
    <w:p>
      <w:pPr>
        <w:spacing w:after="60"/>
      </w:pPr>
      <w:r>
        <w:rPr>
          <w:b w:val="false"/>
          <w:bCs w:val="false"/>
          <w:i w:val="false"/>
          <w:iCs w:val="false"/>
          <w:sz w:val="21"/>
          <w:szCs w:val="21"/>
        </w:rPr>
        <w:t xml:space="preserve">Острая токсичность: вредно при вдыхании.</w:t>
      </w: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4953"/>
        <w:gridCol w:w="4953"/>
      </w:tblGrid>
      <w:tr>
        <w:trPr>
          <w:tblHeader/>
        </w:trPr>
        <w:tc>
          <w:tcPr>
            <w:tcW w:type="dxa" w:w="4953"/>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Показатель</w:t>
            </w:r>
          </w:p>
        </w:tc>
        <w:tc>
          <w:tcPr>
            <w:tcW w:type="dxa" w:w="4953"/>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Значение</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Оральная LD50 (крыса, OECD 423)</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&gt;5000 мг/кг</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Дермальная LD50 (крыса, OECD 402)</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&gt;2000 мг/кг</w:t>
            </w:r>
          </w:p>
        </w:tc>
      </w:tr>
    </w:tbl>
    <w:p>
      <w:pPr>
        <w:spacing w:after="60"/>
      </w:pPr>
      <w:r>
        <w:rPr>
          <w:b w:val="false"/>
          <w:bCs w:val="false"/>
          <w:i w:val="false"/>
          <w:iCs w:val="false"/>
          <w:sz w:val="21"/>
          <w:szCs w:val="21"/>
        </w:rPr>
        <w:t xml:space="preserve">Раздражение кожи (OECD 404, кролик): слабое раздражающее действие; критерии классификации не выполняются. Серьёзное повреждение глаз/раздражение (OECD 405, кролик): слабое раздражающее действие; критерии классификации не выполняются. Сенсибилизация дыхательных путей/кожи (OECD 429, мышь): результат положительный — может вызывать аллергическую реакцию кожи. Мутагенность зародышевых клеток, канцерогенность, репродуктивная токсичность — критерии классификации не выполняются. Специфическая токсичность на органы-мишени (однократное воздействие): может вызывать раздражение дыхательных путей. Повторное воздействие, опасность при аспирации — критерии не выполняются.</w:t>
      </w:r>
    </w:p>
    <w:p>
      <w:pPr>
        <w:spacing w:after="60"/>
      </w:pPr>
      <w:r>
        <w:rPr>
          <w:b w:val="false"/>
          <w:bCs w:val="false"/>
          <w:i w:val="false"/>
          <w:iCs w:val="false"/>
          <w:sz w:val="21"/>
          <w:szCs w:val="21"/>
        </w:rPr>
        <w:t xml:space="preserve">Дополнительная токсикологическая информация: на основании свойств изоцианатных компонентов данный состав может вызывать острое раздражение и/или сенсибилизацию дыхательной системы, приводящую к астматическому состоянию, хрипам и стеснению в груди. У сенсибилизированных лиц возможны астматические симптомы при концентрациях ниже ПДК. Повторное воздействие может привести к постоянной дыхательной недостаточности. Также см. паспорт безопасности компонента A.</w:t>
      </w:r>
    </w:p>
    <w:p>
      <w:pPr>
        <w:spacing w:after="60" w:before="120"/>
      </w:pPr>
      <w:r>
        <w:rPr>
          <w:b/>
          <w:bCs/>
          <w:sz w:val="21"/>
          <w:szCs w:val="21"/>
        </w:rPr>
        <w:t xml:space="preserve">11.2 Информация о прочих опасностях</w:t>
      </w:r>
    </w:p>
    <w:p>
      <w:pPr>
        <w:spacing w:after="60"/>
      </w:pPr>
      <w:r>
        <w:rPr>
          <w:b w:val="false"/>
          <w:bCs w:val="false"/>
          <w:i w:val="false"/>
          <w:iCs w:val="false"/>
          <w:sz w:val="21"/>
          <w:szCs w:val="21"/>
        </w:rPr>
        <w:t xml:space="preserve">Свойства эндокринных разрушителей: ни один из компонентов не включён в перечень.</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12: Экологическая информация</w:t>
            </w:r>
          </w:p>
        </w:tc>
      </w:tr>
    </w:tbl>
    <w:p>
      <w:pPr>
        <w:spacing w:after="80"/>
      </w:pPr>
    </w:p>
    <w:p>
      <w:pPr>
        <w:spacing w:after="60" w:before="120"/>
      </w:pPr>
      <w:r>
        <w:rPr>
          <w:b/>
          <w:bCs/>
          <w:sz w:val="21"/>
          <w:szCs w:val="21"/>
        </w:rPr>
        <w:t xml:space="preserve">12.1 Токсичность</w:t>
      </w:r>
    </w:p>
    <w:p>
      <w:pPr>
        <w:spacing w:after="60"/>
      </w:pPr>
      <w:r>
        <w:rPr>
          <w:b w:val="false"/>
          <w:bCs w:val="false"/>
          <w:i w:val="false"/>
          <w:iCs w:val="false"/>
          <w:sz w:val="21"/>
          <w:szCs w:val="21"/>
        </w:rPr>
        <w:t xml:space="preserve">Токсичность для водных организмов (1,6-гексаметилендиизоцианат гомополимер): EC50/48ч &gt;100 мг/л (дафния); LC50/96ч &gt;100 мг/л (Danio rerio).</w:t>
      </w:r>
    </w:p>
    <w:p>
      <w:pPr>
        <w:spacing w:after="60" w:before="120"/>
      </w:pPr>
      <w:r>
        <w:rPr>
          <w:b/>
          <w:bCs/>
          <w:sz w:val="21"/>
          <w:szCs w:val="21"/>
        </w:rPr>
        <w:t xml:space="preserve">12.2–12.4</w:t>
      </w:r>
    </w:p>
    <w:p>
      <w:pPr>
        <w:spacing w:after="60"/>
      </w:pPr>
      <w:r>
        <w:rPr>
          <w:b w:val="false"/>
          <w:bCs w:val="false"/>
          <w:i w:val="false"/>
          <w:iCs w:val="false"/>
          <w:sz w:val="21"/>
          <w:szCs w:val="21"/>
        </w:rPr>
        <w:t xml:space="preserve">Стойкость и способность к деградации, биоаккумулятивный потенциал, мобильность в почве: дополнительная значимая информация отсутствует.</w:t>
      </w:r>
    </w:p>
    <w:p>
      <w:pPr>
        <w:spacing w:after="60" w:before="120"/>
      </w:pPr>
      <w:r>
        <w:rPr>
          <w:b/>
          <w:bCs/>
          <w:sz w:val="21"/>
          <w:szCs w:val="21"/>
        </w:rPr>
        <w:t xml:space="preserve">12.5 Результаты оценки СБТ и оСБсБ</w:t>
      </w:r>
    </w:p>
    <w:p>
      <w:pPr>
        <w:spacing w:after="60"/>
      </w:pPr>
      <w:r>
        <w:rPr>
          <w:b w:val="false"/>
          <w:bCs w:val="false"/>
          <w:i w:val="false"/>
          <w:iCs w:val="false"/>
          <w:sz w:val="21"/>
          <w:szCs w:val="21"/>
        </w:rPr>
        <w:t xml:space="preserve">Смесь не содержит компонентов, которые могут считаться стойкими, биоаккумулятивными и токсичными, а также очень стойкими и очень биоаккумулятивными (в концентрациях 0,1% и более).</w:t>
      </w:r>
    </w:p>
    <w:p>
      <w:pPr>
        <w:spacing w:after="60" w:before="120"/>
      </w:pPr>
      <w:r>
        <w:rPr>
          <w:b/>
          <w:bCs/>
          <w:sz w:val="21"/>
          <w:szCs w:val="21"/>
        </w:rPr>
        <w:t xml:space="preserve">12.6 Свойства эндокринных разрушителей</w:t>
      </w:r>
    </w:p>
    <w:p>
      <w:pPr>
        <w:spacing w:after="60"/>
      </w:pPr>
      <w:r>
        <w:rPr>
          <w:b w:val="false"/>
          <w:bCs w:val="false"/>
          <w:i w:val="false"/>
          <w:iCs w:val="false"/>
          <w:sz w:val="21"/>
          <w:szCs w:val="21"/>
        </w:rPr>
        <w:t xml:space="preserve">Смесь не содержит компонентов — эндокринных разрушителей в концентрациях 0,1% и более.</w:t>
      </w:r>
    </w:p>
    <w:p>
      <w:pPr>
        <w:spacing w:after="60" w:before="120"/>
      </w:pPr>
      <w:r>
        <w:rPr>
          <w:b/>
          <w:bCs/>
          <w:sz w:val="21"/>
          <w:szCs w:val="21"/>
        </w:rPr>
        <w:t xml:space="preserve">12.7 Прочие неблагоприятные эффекты</w:t>
      </w:r>
    </w:p>
    <w:p>
      <w:pPr>
        <w:spacing w:after="60"/>
      </w:pPr>
      <w:r>
        <w:rPr>
          <w:b w:val="false"/>
          <w:bCs w:val="false"/>
          <w:i w:val="false"/>
          <w:iCs w:val="false"/>
          <w:sz w:val="21"/>
          <w:szCs w:val="21"/>
        </w:rPr>
        <w:t xml:space="preserve">Не допускать попадания продукта в грунтовые воды, водоёмы или канализацию.</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13: Рекомендации по утилизации</w:t>
            </w:r>
          </w:p>
        </w:tc>
      </w:tr>
    </w:tbl>
    <w:p>
      <w:pPr>
        <w:spacing w:after="80"/>
      </w:pPr>
    </w:p>
    <w:p>
      <w:pPr>
        <w:spacing w:after="60" w:before="120"/>
      </w:pPr>
      <w:r>
        <w:rPr>
          <w:b/>
          <w:bCs/>
          <w:sz w:val="21"/>
          <w:szCs w:val="21"/>
        </w:rPr>
        <w:t xml:space="preserve">13.1 Методы обработки отходов</w:t>
      </w:r>
    </w:p>
    <w:p>
      <w:pPr>
        <w:spacing w:after="60"/>
      </w:pPr>
      <w:r>
        <w:rPr>
          <w:b w:val="false"/>
          <w:bCs w:val="false"/>
          <w:i w:val="false"/>
          <w:iCs w:val="false"/>
          <w:sz w:val="21"/>
          <w:szCs w:val="21"/>
        </w:rPr>
        <w:t xml:space="preserve">Не допускать попадания продукта в канализацию. Смешать оба компонента продукта, дать затвердеть, затем утилизировать как строительные отходы. Утилизация должна осуществляться в соответствии с местным, региональным или национальным законодательством.</w:t>
      </w:r>
    </w:p>
    <w:p>
      <w:pPr>
        <w:spacing w:after="60"/>
      </w:pPr>
      <w:r>
        <w:rPr>
          <w:b w:val="false"/>
          <w:bCs w:val="false"/>
          <w:i w:val="false"/>
          <w:iCs w:val="false"/>
          <w:sz w:val="21"/>
          <w:szCs w:val="21"/>
        </w:rPr>
        <w:t xml:space="preserve">Европейский классификатор отходов: 08 05 01* — отходы изоцианатов; 08 01 12 — отходы краски и лака, отличные от указанных в 08 01 11; 15 01 02 — пластиковая упаковка.</w:t>
      </w:r>
    </w:p>
    <w:p>
      <w:pPr>
        <w:spacing w:after="60" w:before="120"/>
      </w:pPr>
      <w:r>
        <w:rPr>
          <w:b/>
          <w:bCs/>
          <w:sz w:val="21"/>
          <w:szCs w:val="21"/>
        </w:rPr>
        <w:t xml:space="preserve">Неочищенная упаковка</w:t>
      </w:r>
    </w:p>
    <w:p>
      <w:pPr>
        <w:spacing w:after="60"/>
      </w:pPr>
      <w:r>
        <w:rPr>
          <w:b w:val="false"/>
          <w:bCs w:val="false"/>
          <w:i w:val="false"/>
          <w:iCs w:val="false"/>
          <w:sz w:val="21"/>
          <w:szCs w:val="21"/>
        </w:rPr>
        <w:t xml:space="preserve">Тщательно опорожнять загрязнённую упаковку. После тщательной и надлежащей очистки она может быть направлена на переработку.</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14: Транспортная информация</w:t>
            </w:r>
          </w:p>
        </w:tc>
      </w:tr>
    </w:tbl>
    <w:p>
      <w:pPr>
        <w:spacing w:after="80"/>
      </w:pPr>
    </w:p>
    <w:p>
      <w:pPr>
        <w:spacing w:after="60"/>
      </w:pPr>
      <w:r>
        <w:rPr>
          <w:b w:val="false"/>
          <w:bCs w:val="false"/>
          <w:i w:val="false"/>
          <w:iCs w:val="false"/>
          <w:sz w:val="21"/>
          <w:szCs w:val="21"/>
        </w:rPr>
        <w:t xml:space="preserve">14.1–14.4: номер ООН, наименование, класс опасности, группа упаковки (ADR, ADN, IMDG, IATA) — отсутствуют.</w:t>
      </w:r>
    </w:p>
    <w:p>
      <w:pPr>
        <w:spacing w:after="60"/>
      </w:pPr>
      <w:r>
        <w:rPr>
          <w:b w:val="false"/>
          <w:bCs w:val="false"/>
          <w:i w:val="false"/>
          <w:iCs w:val="false"/>
          <w:sz w:val="21"/>
          <w:szCs w:val="21"/>
        </w:rPr>
        <w:t xml:space="preserve">14.5 Опасность для окружающей среды: загрязнитель морской среды — нет.</w:t>
      </w:r>
    </w:p>
    <w:p>
      <w:pPr>
        <w:spacing w:after="60"/>
      </w:pPr>
      <w:r>
        <w:rPr>
          <w:b w:val="false"/>
          <w:bCs w:val="false"/>
          <w:i w:val="false"/>
          <w:iCs w:val="false"/>
          <w:sz w:val="21"/>
          <w:szCs w:val="21"/>
        </w:rPr>
        <w:t xml:space="preserve">14.6 Особые меры предосторожности для пользователя: не применимо.</w:t>
      </w:r>
    </w:p>
    <w:p>
      <w:pPr>
        <w:spacing w:after="60"/>
      </w:pPr>
      <w:r>
        <w:rPr>
          <w:b w:val="false"/>
          <w:bCs w:val="false"/>
          <w:i w:val="false"/>
          <w:iCs w:val="false"/>
          <w:sz w:val="21"/>
          <w:szCs w:val="21"/>
        </w:rPr>
        <w:t xml:space="preserve">14.7 Морская перевозка навалом согласно документам ИМО: не применимо. «Модельные правила» ООН: отсутствует.</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15: Нормативная информация</w:t>
            </w:r>
          </w:p>
        </w:tc>
      </w:tr>
    </w:tbl>
    <w:p>
      <w:pPr>
        <w:spacing w:after="80"/>
      </w:pPr>
    </w:p>
    <w:p>
      <w:pPr>
        <w:spacing w:after="60" w:before="120"/>
      </w:pPr>
      <w:r>
        <w:rPr>
          <w:b/>
          <w:bCs/>
          <w:sz w:val="21"/>
          <w:szCs w:val="21"/>
        </w:rPr>
        <w:t xml:space="preserve">15.1 Правила техники безопасности, охраны здоровья и окружающей среды/законодательство для данного вещества или смеси</w:t>
      </w:r>
    </w:p>
    <w:p>
      <w:pPr>
        <w:spacing w:after="60"/>
      </w:pPr>
      <w:r>
        <w:rPr>
          <w:b w:val="false"/>
          <w:bCs w:val="false"/>
          <w:i w:val="false"/>
          <w:iCs w:val="false"/>
          <w:sz w:val="21"/>
          <w:szCs w:val="21"/>
        </w:rPr>
        <w:t xml:space="preserve">Закон о ядах: регулируемые и подлежащие декларированию прекурсоры взрывчатых веществ и яды — ни один из компонентов не включён в перечень.</w:t>
      </w:r>
    </w:p>
    <w:p>
      <w:pPr>
        <w:spacing w:after="60"/>
      </w:pPr>
      <w:r>
        <w:rPr>
          <w:b w:val="false"/>
          <w:bCs w:val="false"/>
          <w:i w:val="false"/>
          <w:iCs w:val="false"/>
          <w:sz w:val="21"/>
          <w:szCs w:val="21"/>
        </w:rPr>
        <w:t xml:space="preserve">Директива 2012/18/ЕС: поимённо указанные опасные вещества — Приложение I — ни один из компонентов не включён в перечень.</w:t>
      </w:r>
    </w:p>
    <w:p>
      <w:pPr>
        <w:spacing w:after="60"/>
      </w:pPr>
      <w:r>
        <w:rPr>
          <w:b w:val="false"/>
          <w:bCs w:val="false"/>
          <w:i w:val="false"/>
          <w:iCs w:val="false"/>
          <w:sz w:val="21"/>
          <w:szCs w:val="21"/>
        </w:rPr>
        <w:t xml:space="preserve">РЕГЛАМЕНТ (ЕС) № 1907/2006, Приложение XVII: условие ограничения 3.</w:t>
      </w:r>
    </w:p>
    <w:p>
      <w:pPr>
        <w:spacing w:after="60" w:before="120"/>
      </w:pPr>
      <w:r>
        <w:rPr>
          <w:b/>
          <w:bCs/>
          <w:sz w:val="21"/>
          <w:szCs w:val="21"/>
        </w:rPr>
        <w:t xml:space="preserve">15.2 Оценка химической безопасности</w:t>
      </w:r>
    </w:p>
    <w:p>
      <w:pPr>
        <w:spacing w:after="60"/>
      </w:pPr>
      <w:r>
        <w:rPr>
          <w:b w:val="false"/>
          <w:bCs w:val="false"/>
          <w:i w:val="false"/>
          <w:iCs w:val="false"/>
          <w:sz w:val="21"/>
          <w:szCs w:val="21"/>
        </w:rPr>
        <w:t xml:space="preserve">Оценка химической безопасности не проводилась.</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16: Прочая информация</w:t>
            </w:r>
          </w:p>
        </w:tc>
      </w:tr>
    </w:tbl>
    <w:p>
      <w:pPr>
        <w:spacing w:after="80"/>
      </w:pPr>
    </w:p>
    <w:p>
      <w:pPr>
        <w:spacing w:after="60"/>
      </w:pPr>
      <w:r>
        <w:rPr>
          <w:b w:val="false"/>
          <w:bCs w:val="false"/>
          <w:i w:val="false"/>
          <w:iCs w:val="false"/>
          <w:sz w:val="21"/>
          <w:szCs w:val="21"/>
        </w:rPr>
        <w:t xml:space="preserve">Информация основана на текущих знаниях. Однако она не является гарантией каких-либо конкретных свойств продукта и не устанавливает юридически обязывающих договорных отношений.</w:t>
      </w:r>
    </w:p>
    <w:p>
      <w:pPr>
        <w:spacing w:after="60"/>
      </w:pPr>
      <w:r>
        <w:rPr>
          <w:b w:val="false"/>
          <w:bCs w:val="false"/>
          <w:i w:val="false"/>
          <w:iCs w:val="false"/>
          <w:sz w:val="21"/>
          <w:szCs w:val="21"/>
        </w:rPr>
        <w:t xml:space="preserve">Данный паспорт безопасности соответствует Регламенту (ЕС) № 1907/2006, Статья 31, с изменениями, внесёнными Регламентом (ЕС) 2020/878.</w:t>
      </w:r>
    </w:p>
    <w:p>
      <w:pPr>
        <w:spacing w:after="60" w:before="120"/>
      </w:pPr>
      <w:r>
        <w:rPr>
          <w:b/>
          <w:bCs/>
          <w:sz w:val="21"/>
          <w:szCs w:val="21"/>
        </w:rPr>
        <w:t xml:space="preserve">Релевантные фразы</w:t>
      </w:r>
    </w:p>
    <w:p>
      <w:pPr>
        <w:spacing w:after="60"/>
      </w:pPr>
      <w:r>
        <w:rPr>
          <w:b w:val="false"/>
          <w:bCs w:val="false"/>
          <w:i w:val="false"/>
          <w:iCs w:val="false"/>
          <w:sz w:val="21"/>
          <w:szCs w:val="21"/>
        </w:rPr>
        <w:t xml:space="preserve">H317 — Может вызывать аллергическую реакцию кожи. H332 — Вредно при вдыхании. H335 — Может вызывать раздражение дыхательных путей. EUH204 — Содержит изоцианаты. Может вызывать аллергическую реакцию.</w:t>
      </w:r>
    </w:p>
    <w:p>
      <w:pPr>
        <w:spacing w:after="60" w:before="120"/>
      </w:pPr>
      <w:r>
        <w:rPr>
          <w:b/>
          <w:bCs/>
          <w:sz w:val="21"/>
          <w:szCs w:val="21"/>
        </w:rPr>
        <w:t xml:space="preserve">Классификация согласно Регламенту (ЕС) № 1272/2008</w:t>
      </w:r>
    </w:p>
    <w:p>
      <w:pPr>
        <w:spacing w:after="60"/>
      </w:pPr>
      <w:r>
        <w:rPr>
          <w:b w:val="false"/>
          <w:bCs w:val="false"/>
          <w:i w:val="false"/>
          <w:iCs w:val="false"/>
          <w:sz w:val="21"/>
          <w:szCs w:val="21"/>
        </w:rPr>
        <w:t xml:space="preserve">Классификация смеси в целом основана на расчётном методе с использованием данных о веществах согласно Регламенту (ЕС) № 1272/2008.</w:t>
      </w:r>
    </w:p>
    <w:p>
      <w:pPr>
        <w:spacing w:after="60" w:before="120"/>
      </w:pPr>
      <w:r>
        <w:rPr>
          <w:b/>
          <w:bCs/>
          <w:sz w:val="21"/>
          <w:szCs w:val="21"/>
        </w:rPr>
        <w:t xml:space="preserve">Контакт</w:t>
      </w:r>
    </w:p>
    <w:p>
      <w:pPr>
        <w:spacing w:after="60"/>
      </w:pPr>
      <w:r>
        <w:rPr>
          <w:b w:val="false"/>
          <w:bCs w:val="false"/>
          <w:i w:val="false"/>
          <w:iCs w:val="false"/>
          <w:sz w:val="21"/>
          <w:szCs w:val="21"/>
        </w:rPr>
        <w:t xml:space="preserve">E-mail: msds.info@pallmann.net</w:t>
      </w:r>
    </w:p>
    <w:p>
      <w:pPr>
        <w:spacing w:after="60" w:before="120"/>
      </w:pPr>
      <w:r>
        <w:rPr>
          <w:b/>
          <w:bCs/>
          <w:sz w:val="21"/>
          <w:szCs w:val="21"/>
        </w:rPr>
        <w:t xml:space="preserve">Сокращения и акронимы</w:t>
      </w:r>
    </w:p>
    <w:p>
      <w:pPr>
        <w:spacing w:after="60"/>
      </w:pPr>
      <w:r>
        <w:rPr>
          <w:b w:val="false"/>
          <w:bCs w:val="false"/>
          <w:i w:val="false"/>
          <w:iCs w:val="false"/>
          <w:sz w:val="21"/>
          <w:szCs w:val="21"/>
        </w:rPr>
        <w:t xml:space="preserve">RID, ICAO, ADR, IMDG, IATA, GHS, EINECS, ELINCS, CAS, DNEL, PNEC, LC50, LD50, СБТ, оСБсБ — см. стандартный глоссарий. Acute Tox. 4 — острая токсичность, категория 4. Skin Sens. 1 — сенсибилизация кожи, категория 1. STOT SE 3 — специфическая токсичность на органы-мишени (однократное воздействие), категория 3.</w:t>
      </w:r>
    </w:p>
    <w:p>
      <w:pPr>
        <w:spacing w:after="60"/>
      </w:pPr>
      <w:r>
        <w:rPr>
          <w:b w:val="false"/>
          <w:bCs w:val="false"/>
          <w:i w:val="false"/>
          <w:iCs w:val="false"/>
          <w:sz w:val="21"/>
          <w:szCs w:val="21"/>
        </w:rPr>
        <w:t xml:space="preserve">* Данные изменены по сравнению с предыдущей версией.</w:t>
      </w:r>
    </w:p>
    <w:p>
      <w:pPr>
        <w:spacing w:after="160"/>
      </w:pPr>
    </w:p>
    <w:sectPr>
      <w:pgSz w:w="11906" w:h="16838" w:orient="portrait"/>
      <w:pgMar w:top="1000" w:right="1000" w:bottom="1000" w:left="10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2026-07-21T10:16:28.483Z</dcterms:created>
  <dcterms:modified xsi:type="dcterms:W3CDTF">2026-07-21T10:16:28.499Z</dcterms:modified>
</cp:coreProperties>
</file>

<file path=docProps/custom.xml><?xml version="1.0" encoding="utf-8"?>
<Properties xmlns="http://schemas.openxmlformats.org/officeDocument/2006/custom-properties" xmlns:vt="http://schemas.openxmlformats.org/officeDocument/2006/docPropsVTypes"/>
</file>