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/>
        <w:jc w:val="center"/>
      </w:pPr>
      <w:r>
        <w:rPr>
          <w:b/>
          <w:bCs/>
          <w:sz w:val="34"/>
          <w:szCs w:val="34"/>
        </w:rPr>
        <w:t xml:space="preserve">Паспорт безопасности</w:t>
      </w:r>
    </w:p>
    <w:p>
      <w:pPr>
        <w:spacing w:after="120"/>
        <w:jc w:val="center"/>
      </w:pPr>
      <w:r>
        <w:rPr>
          <w:i/>
          <w:iCs/>
          <w:sz w:val="22"/>
          <w:szCs w:val="22"/>
        </w:rPr>
        <w:t xml:space="preserve">согласно 1907/2006/EC, Статья 31</w:t>
      </w:r>
    </w:p>
    <w:p>
      <w:pPr>
        <w:pBdr>
          <w:bottom w:val="single" w:color="000000" w:sz="8" w:space="4"/>
        </w:pBdr>
        <w:spacing w:after="200"/>
        <w:jc w:val="center"/>
      </w:pPr>
      <w:r>
        <w:rPr>
          <w:b/>
          <w:bCs/>
          <w:sz w:val="26"/>
          <w:szCs w:val="26"/>
        </w:rPr>
        <w:t xml:space="preserve">MAGIC OIL 2K ERGO Comp. B</w:t>
      </w:r>
    </w:p>
    <w:p>
      <w:pPr>
        <w:spacing w:after="200"/>
        <w:jc w:val="center"/>
      </w:pPr>
      <w:r>
        <w:rPr>
          <w:color w:val="444444"/>
          <w:sz w:val="18"/>
          <w:szCs w:val="18"/>
        </w:rPr>
        <w:t xml:space="preserve">Дата печати: 04.01.2024 · Версия № 8 · Пересмотр: 04.01.2024</w:t>
      </w: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1: Идентификация вещества/смеси и сведения о компании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1.1 Идентификатор продукта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Торговое название: MAGIC OIL 2K ERGO Comp. B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1.2 Соответствующие установленные виды использования вещества или смеси и виды использования, которые не рекомендуются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Особых требований нет.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Сектор применения:</w:t>
      </w:r>
    </w:p>
    <w:p>
      <w:pPr>
        <w:spacing w:after="0"/>
      </w:pPr>
      <w:r>
        <w:rPr>
          <w:sz w:val="21"/>
          <w:szCs w:val="21"/>
        </w:rPr>
        <w:t xml:space="preserve">●  SU19 Строительные и строительно-монтажные работы</w:t>
      </w:r>
    </w:p>
    <w:p>
      <w:pPr>
        <w:spacing w:after="0"/>
      </w:pPr>
      <w:r>
        <w:rPr>
          <w:sz w:val="21"/>
          <w:szCs w:val="21"/>
        </w:rPr>
        <w:t xml:space="preserve">●  SU22 Профессиональное использование: общественная сфера (администрация, образование, развлечения, услуги, ремесленники)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Только для профессионального использования.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Категория продукта: PC31 Полироли и восковые смеси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Применение вещества/смеси: 2-компонентное масло для деревянных полов (компонент B)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1.3 Сведения о поставщике паспорта безопасности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Производитель/поставщик: PALLMANN GmbH, Im Kreuz 6, D-97076 Würzburg. Тел.: +49 (0)931-27964-0. Факс: +49 (0)931-27964-50.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Дополнительную информацию можно получить: Products Development Lab, e-mail: msds.info@uzin-utz.com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1.4 Номер телефона для экстренной связи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Медицинские экстренные случаи (GIZ-Nord): +49 551 19240. Транспортные аварийные ситуации: +49 621 60 43 333.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2: Идентификация опасности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2.1 Классификация вещества или смеси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Пиктограмма GHS07. Acute Tox. 4, H332 — Вредно при вдыхании. Skin Sens. 1, H317 — Может вызывать аллергическую реакцию кожи. STOT SE 3, H335 — Может вызывать раздражение дыхательных путей.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2.2 Элементы маркировки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Продукт классифицирован и маркирован согласно регламенту GB CLP. Пиктограмма: GHS07. Сигнальное слово: Внимание.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Компонент, определяющий маркировку: 1,6-гексаметилендиизоцианат гомополимер.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Указания на опасность: H332, H317, H335 (см. выше).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Меры предосторожности: P102 Хранить в недоступном для детей месте. P280 Использовать защитные перчатки/средства защиты глаз. P302+P352 ПРИ ПОПАДАНИИ НА КОЖУ: промыть большим количеством воды с мылом. P304+P340 ПРИ ВДЫХАНИИ: вывести пострадавшего на свежий воздух и обеспечить условия для комфортного дыхания. P305+P351+P338 ПРИ ПОПАДАНИИ В ГЛАЗА: осторожно промывать глаза водой в течение нескольких минут; снять контактные линзы, если это легко сделать; продолжить промывание. P333+P313 При раздражении или сыпи на коже: обратиться за медицинской помощью. P337+P313 При продолжающемся раздражении глаз: обратиться за медицинской помощью. P342+P311 При симптомах со стороны дыхательных путей: обратиться в токсикологический центр/к врачу.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информация: EUH204 Содержит изоцианаты. Может вызывать аллергическую реакцию.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2.3 Прочие опасности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Результаты оценки СБТ и оСБсБ: не применимо.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3: Состав / информация о компонентах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3.2 Смеси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Описание: смесь перечисленных ниже веществ с неопасными добавками.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Опасные компоненты:</w:t>
      </w: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476"/>
        <w:gridCol w:w="2476"/>
        <w:gridCol w:w="2476"/>
        <w:gridCol w:w="2476"/>
      </w:tblGrid>
      <w:tr>
        <w:trPr>
          <w:tblHeader/>
        </w:trPr>
        <w:tc>
          <w:tcPr>
            <w:tcW w:type="dxa" w:w="247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b/>
                <w:bCs/>
                <w:sz w:val="19"/>
                <w:szCs w:val="19"/>
              </w:rPr>
              <w:t xml:space="preserve">CAS / Рег. №</w:t>
            </w:r>
          </w:p>
        </w:tc>
        <w:tc>
          <w:tcPr>
            <w:tcW w:type="dxa" w:w="247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b/>
                <w:bCs/>
                <w:sz w:val="19"/>
                <w:szCs w:val="19"/>
              </w:rPr>
              <w:t xml:space="preserve">Название</w:t>
            </w:r>
          </w:p>
        </w:tc>
        <w:tc>
          <w:tcPr>
            <w:tcW w:type="dxa" w:w="247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b/>
                <w:bCs/>
                <w:sz w:val="19"/>
                <w:szCs w:val="19"/>
              </w:rPr>
              <w:t xml:space="preserve">Классификация</w:t>
            </w:r>
          </w:p>
        </w:tc>
        <w:tc>
          <w:tcPr>
            <w:tcW w:type="dxa" w:w="247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b/>
                <w:bCs/>
                <w:sz w:val="19"/>
                <w:szCs w:val="19"/>
              </w:rPr>
              <w:t xml:space="preserve">Конц.</w:t>
            </w:r>
          </w:p>
        </w:tc>
      </w:tr>
      <w:tr>
        <w:tc>
          <w:tcPr>
            <w:tcW w:type="dxa" w:w="247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CAS: 28182-81-2
Рег. №: 01-2119488934-20</w:t>
            </w:r>
          </w:p>
        </w:tc>
        <w:tc>
          <w:tcPr>
            <w:tcW w:type="dxa" w:w="247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1,6-гексаметилендиизоцианат гомополимер</w:t>
            </w:r>
          </w:p>
        </w:tc>
        <w:tc>
          <w:tcPr>
            <w:tcW w:type="dxa" w:w="247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Acute Tox. 4, H332; Skin Sens. 1, H317; STOT SE 3, H335, EUH204</w:t>
            </w:r>
          </w:p>
        </w:tc>
        <w:tc>
          <w:tcPr>
            <w:tcW w:type="dxa" w:w="247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75-100%</w:t>
            </w:r>
          </w:p>
        </w:tc>
      </w:tr>
    </w:tbl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информация: формулировки указанных фраз опасности приведены в разделе 16.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4: Меры первой помощи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4.1 Описание мер первой помощи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Общие сведения: симптомы отравления могут проявиться даже спустя несколько часов, поэтому необходимо медицинское наблюдение не менее 48 часов после происшествия.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При вдыхании: обеспечить приток свежего воздуха; при жалобах обратиться к врачу. При потере сознания уложить пострадавшего в устойчивое боковое положение для транспортировки.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При контакте с кожей: немедленно промыть водой с мылом и тщательно ополоснуть.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При контакте с глазами: промывать открытый глаз в течение нескольких минут под проточной водой, затем обратиться к врачу.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При проглатывании: не вызывать рвоту; немедленно вызвать врача.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4.2 Наиболее важные симптомы и эффекты, острые и отсроченные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Аллергические реакции.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4.3 Указание на необходимость немедленной медицинской помощи и специального лечения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5: Меры пожаротушения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5.1 Средства пожаротушения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Подходящие средства: CO₂, порошок или распылённая вода. Крупные пожары тушить распылённой водой или пеной, устойчивой к спирту. Непригодные по соображениям безопасности: вода в виде компактной струи.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5.2 Особые опасности, исходящие от вещества или смеси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5.3 Рекомендации для пожарных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Средства защиты: респиратор для защиты органов дыхания.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6: Меры при случайном высвобождении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6.1 Меры предосторожности для персонала, средства защиты и порядок действий в чрезвычайной ситуации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Использовать средства защиты. Не допускать незащищённых лиц.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6.2 Меры предосторожности для окружающей среды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Не допускать попадания в канализацию, поверхностные или грунтовые воды.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6.3 Методы и материалы для локализации и очистки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Впитать жидкосвязывающим материалом (песок, диатомит, кислотосвязывающие вещества, универсальные сорбенты, опилки).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6.4 Ссылка на другие разделы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См. раздел 7 (безопасное обращение), раздел 8 (СИЗ), раздел 13 (утилизация).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7: Обращение и хранение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7.1 Меры предосторожности для безопасного обращения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Избегать контакта с глазами и кожей. Держать вдали от пищевых продуктов, напитков и корма. Не принимать пищу и не пить во время работы. Лица, имеющие в анамнезе астму, аллергии, хронические или рецидивирующие заболевания дыхательных путей, не должны быть заняты в процессах, где используется данный продукт. Мыть руки перед перерывами и по окончании работы.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Информация о противопожарной и взрывозащите: особые меры не требуются.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7.2 Условия безопасного хранения с учётом несовместимости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Требования к складским помещениям и ёмкостям: особых требований нет. Совместное хранение: не требуется. Держать ёмкость плотно закрытой.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7.3 Конкретные конечные применения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8: Контроль воздействия / средства индивидуальной защиты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8.1 Параметры контроля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Продукт не содержит значимых количеств материалов с критическими значениями, подлежащих контролю на рабочем месте.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8.2 Контроль воздействия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Общие защитные и гигиенические меры: избегать контакта с глазами и кожей. Носить подходящую защитную одежду, перчатки и средства защиты глаз/лица. Лица с астмой, аллергиями, хроническими заболеваниями дыхательных путей не должны быть заняты в процессах с данным продуктом. Мыть руки перед перерывами и по окончании работы.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Защита органов дыхания: не требуется. Обеспечить хорошую вентиляцию помещения при обработке.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Защита рук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Использовать перчатки из стабильного материала (например, нитрил), при необходимости трикотажные (EN 374). Материал: бутилкаучук, нитрильный каучук; рекомендуемая толщина ≥ 0,5 мм. Точное время прорыва устанавливает производитель перчаток.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Защита глаз/лица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Плотно прилегающие защитные очки (EN 166).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9: Физические и химические свойства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9.1 Информация об основных физических и химических свойствах</w:t>
      </w: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953"/>
        <w:gridCol w:w="4953"/>
      </w:tblGrid>
      <w:tr>
        <w:trPr>
          <w:tblHeader/>
        </w:trPr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b/>
                <w:bCs/>
                <w:sz w:val="19"/>
                <w:szCs w:val="19"/>
              </w:rPr>
              <w:t xml:space="preserve">Параметр</w:t>
            </w:r>
          </w:p>
        </w:tc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b/>
                <w:bCs/>
                <w:sz w:val="19"/>
                <w:szCs w:val="19"/>
              </w:rPr>
              <w:t xml:space="preserve">Значение</w:t>
            </w:r>
          </w:p>
        </w:tc>
      </w:tr>
      <w:tr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Физическое состояние</w:t>
            </w:r>
          </w:p>
        </w:tc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Текучая жидкость</w:t>
            </w:r>
          </w:p>
        </w:tc>
      </w:tr>
      <w:tr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Цвет</w:t>
            </w:r>
          </w:p>
        </w:tc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Бесцветный</w:t>
            </w:r>
          </w:p>
        </w:tc>
      </w:tr>
      <w:tr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Запах</w:t>
            </w:r>
          </w:p>
        </w:tc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Слабый, характерный</w:t>
            </w:r>
          </w:p>
        </w:tc>
      </w:tr>
      <w:tr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Воспламеняемость</w:t>
            </w:r>
          </w:p>
        </w:tc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Не применимо</w:t>
            </w:r>
          </w:p>
        </w:tc>
      </w:tr>
      <w:tr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Температура вспышки</w:t>
            </w:r>
          </w:p>
        </w:tc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&gt;200 °C</w:t>
            </w:r>
          </w:p>
        </w:tc>
      </w:tr>
      <w:tr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pH</w:t>
            </w:r>
          </w:p>
        </w:tc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Не определён</w:t>
            </w:r>
          </w:p>
        </w:tc>
      </w:tr>
      <w:tr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Динамическая вязкость при 20 °C</w:t>
            </w:r>
          </w:p>
        </w:tc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~960 мПа·с</w:t>
            </w:r>
          </w:p>
        </w:tc>
      </w:tr>
      <w:tr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Растворимость в воде</w:t>
            </w:r>
          </w:p>
        </w:tc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Не смешивается или трудно смешивается</w:t>
            </w:r>
          </w:p>
        </w:tc>
      </w:tr>
      <w:tr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Давление пара при 50 °C</w:t>
            </w:r>
          </w:p>
        </w:tc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0,0001 гПа</w:t>
            </w:r>
          </w:p>
        </w:tc>
      </w:tr>
      <w:tr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Плотность при 20 °C</w:t>
            </w:r>
          </w:p>
        </w:tc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1,15 г/см³</w:t>
            </w:r>
          </w:p>
        </w:tc>
      </w:tr>
    </w:tbl>
    <w:p>
      <w:pPr>
        <w:spacing w:after="60" w:before="120"/>
      </w:pPr>
      <w:r>
        <w:rPr>
          <w:b/>
          <w:bCs/>
          <w:sz w:val="21"/>
          <w:szCs w:val="21"/>
        </w:rPr>
        <w:t xml:space="preserve">9.2 Прочая информация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Температура воспламенения: см. также паспорт безопасности компонента A. Взрывоопасные свойства: продукт не представляет взрывоопасности.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Все классы физической опасности — отсутствуют.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10: Стабильность и реакционная способность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10.1 Реакционная способность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10.2 Химическая стабильность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Термическое разложение / условия, которых следует избегать: начиная примерно с 260 °C — полимеризация и выделение CO₂.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10.3 Возможность опасных реакций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Продукт медленно реагирует с водой с выделением углекислого газа. В закрытых ёмкостях повышение давления может привести к деформации, вздутию, а в крайних случаях — к разрыву ёмкости.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10.4 Условия, которых следует избегать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10.5 Несовместимые материалы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Держать вдали от окисляющих веществ, сильнощелочных и сильнокислотных материалов во избежание экзотермических реакций. Неконтролируемые экзотермические реакции происходят с аминами и спиртами. При хранении избегать попадания влаги.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10.6 Опасные продукты разложения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При пожаре могут образовываться опасные продукты разложения: дым, оксид углерода, диоксид углерода, оксиды азота, цианистый водород, мономерные изоцианаты, амины и спирты.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11: Токсикологическая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11.1 Информация о классах опасности согласно Регламенту (ЕС) № 1272/2008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Острая токсичность: вредно при вдыхании.</w:t>
      </w: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953"/>
        <w:gridCol w:w="4953"/>
      </w:tblGrid>
      <w:tr>
        <w:trPr>
          <w:tblHeader/>
        </w:trPr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b/>
                <w:bCs/>
                <w:sz w:val="19"/>
                <w:szCs w:val="19"/>
              </w:rPr>
              <w:t xml:space="preserve">Показатель</w:t>
            </w:r>
          </w:p>
        </w:tc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b/>
                <w:bCs/>
                <w:sz w:val="19"/>
                <w:szCs w:val="19"/>
              </w:rPr>
              <w:t xml:space="preserve">Значение</w:t>
            </w:r>
          </w:p>
        </w:tc>
      </w:tr>
      <w:tr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Оральная LD50 (крыса, OECD 423)</w:t>
            </w:r>
          </w:p>
        </w:tc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&gt;5000 мг/кг</w:t>
            </w:r>
          </w:p>
        </w:tc>
      </w:tr>
      <w:tr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Дермальная LD50 (крыса, OECD 402)</w:t>
            </w:r>
          </w:p>
        </w:tc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&gt;2000 мг/кг</w:t>
            </w:r>
          </w:p>
        </w:tc>
      </w:tr>
    </w:tbl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Раздражение кожи: возможно слабое раздражающее действие; критерии классификации не выполняются. Серьёзное повреждение глаз/раздражение: критерии не выполняются. Сенсибилизация дыхательных путей/кожи: может вызывать аллергическую реакцию кожи. Мутагенность зародышевых клеток, канцерогенность, репродуктивная токсичность: критерии не выполняются. Специфическая токсичность на органы-мишени (однократное воздействие): может вызывать раздражение дыхательных путей. Повторное воздействие, опасность при аспирации: критерии не выполняются.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токсикологическая информация: на основании свойств изоцианатных компонентов данный состав может вызывать острое раздражение и/или сенсибилизацию дыхательной системы, приводящую к астматическому состоянию, хрипам и стеснению в груди. У сенсибилизированных лиц возможны астматические симптомы при концентрациях ниже ПДК. Повторное воздействие может привести к постоянной дыхательной недостаточности.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11.2 Информация о прочих опасностях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Свойства эндокринных разрушителей: ни один из компонентов не включён в перечень.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12: Экологическая информация</w:t>
            </w:r>
          </w:p>
        </w:tc>
      </w:tr>
    </w:tbl>
    <w:p>
      <w:pPr>
        <w:spacing w:after="80"/>
      </w:pP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12.1 Токсичность: дополнительная значимая информация отсутствует.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12.2–12.4 Стойкость и способность к деградации, биоаккумулятивный потенциал, мобильность в почве: дополнительная значимая информация отсутствует.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12.5 Результаты оценки СБТ и оСБсБ: не применимо.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12.6 Свойства эндокринных разрушителей: продукт не содержит веществ с эндокринно-разрушающими свойствами.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12.7 Прочие неблагоприятные эффекты: не допускать попадания продукта в грунтовые воды, водоёмы или канализацию.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13: Рекомендации по утилизации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13.1 Методы обработки отходов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Не допускать попадания продукта в канализацию. Утилизация — в соответствии с местным, региональным или национальным законодательством.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Неочищенная упаковка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Тщательно опорожнять загрязнённую упаковку. После тщательной и надлежащей очистки она может быть направлена на переработку.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14: Транспортная информация</w:t>
            </w:r>
          </w:p>
        </w:tc>
      </w:tr>
    </w:tbl>
    <w:p>
      <w:pPr>
        <w:spacing w:after="80"/>
      </w:pP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14.1–14.4: номер ООН, наименование, класс опасности, группа упаковки (ADR, ADN, IMDG, IATA) — отсутствуют.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14.5 Опасность для окружающей среды: загрязнитель морской среды — нет.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14.6–14.7: не применимо.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15: Нормативная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15.1 Правила техники безопасности, охраны здоровья и окружающей среды/законодательство для данного вещества или смеси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Директива 2012/18/ЕС: поимённо указанные опасные вещества — Приложение I — ни один из компонентов не включён в перечень.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РЕГЛАМЕНТ (ЕС) № 1907/2006, Приложение XVII: условие ограничения 3.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15.2 Оценка химической безопасности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Оценка химической безопасности не проводилась.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16: Прочая информация</w:t>
            </w:r>
          </w:p>
        </w:tc>
      </w:tr>
    </w:tbl>
    <w:p>
      <w:pPr>
        <w:spacing w:after="80"/>
      </w:pP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Информация основана на текущих знаниях. Однако она не является гарантией каких-либо конкретных свойств продукта и не устанавливает юридически обязывающих договорных отношений.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Данный паспорт безопасности соответствует Регламенту (ЕС) № 1907/2006, Статья 31, с изменениями, внесёнными Регламентом (ЕС) 2020/878.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Релевантные фразы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H317 — Может вызывать аллергическую реакцию кожи. H332 — Вредно при вдыхании. H335 — Может вызывать раздражение дыхательных путей. EUH204 — Содержит изоцианаты. Может вызывать аллергическую реакцию.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Рекомендуемое ограничение использования: только для профессионального использования.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Классификация согласно Регламенту (ЕС) № 1272/2008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Классификация смеси в целом основана на расчётном методе с использованием данных о веществах согласно Регламенту (ЕС) № 1272/2008.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Контакт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E-mail: msds.info@pallmann.net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Сокращения и акронимы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RID, ICAO, ADR, IMDG, IATA, GHS, EINECS, ELINCS, CAS, LC50, LD50, СБТ, оСБсБ — см. стандартный глоссарий. Acute Tox. 4 — острая токсичность, категория 4. Skin Sens. 1 — сенсибилизация кожи, категория 1. STOT SE 3 — специфическая токсичность на органы-мишени (однократное воздействие), категория 3.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* Данные изменены по сравнению с предыдущей версией.</w:t>
      </w:r>
    </w:p>
    <w:p>
      <w:pPr>
        <w:spacing w:after="160"/>
      </w:pPr>
    </w:p>
    <w:sectPr>
      <w:pgSz w:w="11906" w:h="16838" w:orient="portrait"/>
      <w:pgMar w:top="1000" w:right="1000" w:bottom="1000" w:left="10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2026-07-21T10:18:56.491Z</dcterms:created>
  <dcterms:modified xsi:type="dcterms:W3CDTF">2026-07-21T10:18:56.492Z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