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40"/>
        <w:jc w:val="center"/>
      </w:pPr>
      <w:r>
        <w:rPr>
          <w:b/>
          <w:bCs/>
          <w:sz w:val="34"/>
          <w:szCs w:val="34"/>
        </w:rPr>
        <w:t xml:space="preserve">Паспорт безопасности</w:t>
      </w:r>
    </w:p>
    <w:p>
      <w:pPr>
        <w:spacing w:after="120"/>
        <w:jc w:val="center"/>
      </w:pPr>
      <w:r>
        <w:rPr>
          <w:i/>
          <w:iCs/>
          <w:sz w:val="22"/>
          <w:szCs w:val="22"/>
        </w:rPr>
        <w:t xml:space="preserve">согласно 1907/2006/EC, Статья 31</w:t>
      </w:r>
    </w:p>
    <w:p>
      <w:pPr>
        <w:pBdr>
          <w:bottom w:val="single" w:color="000000" w:sz="8" w:space="4"/>
        </w:pBdr>
        <w:spacing w:after="200"/>
        <w:jc w:val="center"/>
      </w:pPr>
      <w:r>
        <w:rPr>
          <w:b/>
          <w:bCs/>
          <w:sz w:val="26"/>
          <w:szCs w:val="26"/>
        </w:rPr>
        <w:t xml:space="preserve">MAGIC OIL 2K ERGO Comp. A</w:t>
      </w:r>
    </w:p>
    <w:p>
      <w:pPr>
        <w:spacing w:after="200"/>
        <w:jc w:val="center"/>
      </w:pPr>
      <w:r>
        <w:rPr>
          <w:color w:val="444444"/>
          <w:sz w:val="18"/>
          <w:szCs w:val="18"/>
        </w:rPr>
        <w:t xml:space="preserve">Дата печати: 04.01.2024 · Версия № 8 · Пересмотр: 04.01.2024</w:t>
      </w:r>
    </w:p>
    <w:tbl>
      <w:tblPr>
        <w:tblW w:type="dxa" w:w="9906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9906"/>
      </w:tblGrid>
      <w:tr>
        <w:tc>
          <w:tcPr>
            <w:tcW w:type="dxa" w:w="9906"/>
            <w:shd w:fill="1F3864" w:color="auto" w:val="clear"/>
            <w:tcMar>
              <w:top w:type="dxa" w:w="100"/>
              <w:left w:type="dxa" w:w="120"/>
              <w:bottom w:type="dxa" w:w="100"/>
              <w:right w:type="dxa" w:w="120"/>
            </w:tcMar>
          </w:tcPr>
          <w:p>
            <w:r>
              <w:rPr>
                <w:b/>
                <w:bCs/>
                <w:color w:val="FFFFFF"/>
                <w:sz w:val="22"/>
                <w:szCs w:val="22"/>
              </w:rPr>
              <w:t xml:space="preserve">РАЗДЕЛ 1: Идентификация вещества/смеси и сведения о компании</w:t>
            </w:r>
          </w:p>
        </w:tc>
      </w:tr>
    </w:tbl>
    <w:p>
      <w:pPr>
        <w:spacing w:after="80"/>
      </w:pPr>
    </w:p>
    <w:p>
      <w:pPr>
        <w:spacing w:after="60" w:before="120"/>
      </w:pPr>
      <w:r>
        <w:rPr>
          <w:b/>
          <w:bCs/>
          <w:sz w:val="21"/>
          <w:szCs w:val="21"/>
        </w:rPr>
        <w:t xml:space="preserve">1.1 Идентификатор продукта</w:t>
      </w:r>
    </w:p>
    <w:p>
      <w:pPr>
        <w:spacing w:after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Торговое название: MAGIC OIL 2K ERGO Comp. A</w:t>
      </w:r>
    </w:p>
    <w:p>
      <w:pPr>
        <w:spacing w:after="60" w:before="120"/>
      </w:pPr>
      <w:r>
        <w:rPr>
          <w:b/>
          <w:bCs/>
          <w:sz w:val="21"/>
          <w:szCs w:val="21"/>
        </w:rPr>
        <w:t xml:space="preserve">1.2 Соответствующие установленные виды использования вещества или смеси и виды использования, которые не рекомендуются</w:t>
      </w:r>
    </w:p>
    <w:p>
      <w:pPr>
        <w:spacing w:after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Особых требований нет.</w:t>
      </w:r>
    </w:p>
    <w:p>
      <w:pPr>
        <w:spacing w:after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Сектор применения:</w:t>
      </w:r>
    </w:p>
    <w:p>
      <w:pPr>
        <w:spacing w:after="0"/>
      </w:pPr>
      <w:r>
        <w:rPr>
          <w:sz w:val="21"/>
          <w:szCs w:val="21"/>
        </w:rPr>
        <w:t xml:space="preserve">●  SU19 Строительные и строительно-монтажные работы</w:t>
      </w:r>
    </w:p>
    <w:p>
      <w:pPr>
        <w:spacing w:after="0"/>
      </w:pPr>
      <w:r>
        <w:rPr>
          <w:sz w:val="21"/>
          <w:szCs w:val="21"/>
        </w:rPr>
        <w:t xml:space="preserve">●  SU22 Профессиональное использование: общественная сфера (администрация, образование, развлечения, услуги, ремесленники)</w:t>
      </w:r>
    </w:p>
    <w:p>
      <w:pPr>
        <w:spacing w:after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Только для профессионального использования.</w:t>
      </w:r>
    </w:p>
    <w:p>
      <w:pPr>
        <w:spacing w:after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Категория продукта: PC31 Полироли и восковые смеси</w:t>
      </w:r>
    </w:p>
    <w:p>
      <w:pPr>
        <w:spacing w:after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Применение вещества/смеси: 2-компонентное масло для деревянных полов</w:t>
      </w:r>
    </w:p>
    <w:p>
      <w:pPr>
        <w:spacing w:after="60" w:before="120"/>
      </w:pPr>
      <w:r>
        <w:rPr>
          <w:b/>
          <w:bCs/>
          <w:sz w:val="21"/>
          <w:szCs w:val="21"/>
        </w:rPr>
        <w:t xml:space="preserve">1.3 Сведения о поставщике паспорта безопасности</w:t>
      </w:r>
    </w:p>
    <w:p>
      <w:pPr>
        <w:spacing w:after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Производитель/поставщик: PALLMANN GmbH, Im Kreuz 6, D-97076 Würzburg. Тел.: +49 (0)931-27964-0. Факс: +49 (0)931-27964-50.</w:t>
      </w:r>
    </w:p>
    <w:p>
      <w:pPr>
        <w:spacing w:after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Дополнительную информацию можно получить: Products Development Lab, e-mail: msds.info@uzin-utz.com</w:t>
      </w:r>
    </w:p>
    <w:p>
      <w:pPr>
        <w:spacing w:after="60" w:before="120"/>
      </w:pPr>
      <w:r>
        <w:rPr>
          <w:b/>
          <w:bCs/>
          <w:sz w:val="21"/>
          <w:szCs w:val="21"/>
        </w:rPr>
        <w:t xml:space="preserve">1.4 Номер телефона для экстренной связи</w:t>
      </w:r>
    </w:p>
    <w:p>
      <w:pPr>
        <w:spacing w:after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Медицинские экстренные случаи (GIZ-Nord): +49 551 19240. Транспортные аварийные ситуации: +49 621 60 43 333.</w:t>
      </w:r>
    </w:p>
    <w:p>
      <w:pPr>
        <w:spacing w:after="160"/>
      </w:pPr>
    </w:p>
    <w:tbl>
      <w:tblPr>
        <w:tblW w:type="dxa" w:w="9906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9906"/>
      </w:tblGrid>
      <w:tr>
        <w:tc>
          <w:tcPr>
            <w:tcW w:type="dxa" w:w="9906"/>
            <w:shd w:fill="1F3864" w:color="auto" w:val="clear"/>
            <w:tcMar>
              <w:top w:type="dxa" w:w="100"/>
              <w:left w:type="dxa" w:w="120"/>
              <w:bottom w:type="dxa" w:w="100"/>
              <w:right w:type="dxa" w:w="120"/>
            </w:tcMar>
          </w:tcPr>
          <w:p>
            <w:r>
              <w:rPr>
                <w:b/>
                <w:bCs/>
                <w:color w:val="FFFFFF"/>
                <w:sz w:val="22"/>
                <w:szCs w:val="22"/>
              </w:rPr>
              <w:t xml:space="preserve">РАЗДЕЛ 2: Идентификация опасности</w:t>
            </w:r>
          </w:p>
        </w:tc>
      </w:tr>
    </w:tbl>
    <w:p>
      <w:pPr>
        <w:spacing w:after="80"/>
      </w:pPr>
    </w:p>
    <w:p>
      <w:pPr>
        <w:spacing w:after="60" w:before="120"/>
      </w:pPr>
      <w:r>
        <w:rPr>
          <w:b/>
          <w:bCs/>
          <w:sz w:val="21"/>
          <w:szCs w:val="21"/>
        </w:rPr>
        <w:t xml:space="preserve">2.1 Классификация вещества или смеси</w:t>
      </w:r>
    </w:p>
    <w:p>
      <w:pPr>
        <w:spacing w:after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Классификация согласно Регламенту (ЕС) № 1272/2008: продукт не классифицируется как опасный согласно регламенту GB CLP.</w:t>
      </w:r>
    </w:p>
    <w:p>
      <w:pPr>
        <w:spacing w:after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Дополнительная информация: также см. паспорт безопасности компонента B.</w:t>
      </w:r>
    </w:p>
    <w:p>
      <w:pPr>
        <w:spacing w:after="60" w:before="120"/>
      </w:pPr>
      <w:r>
        <w:rPr>
          <w:b/>
          <w:bCs/>
          <w:sz w:val="21"/>
          <w:szCs w:val="21"/>
        </w:rPr>
        <w:t xml:space="preserve">2.2 Элементы маркировки</w:t>
      </w:r>
    </w:p>
    <w:p>
      <w:pPr>
        <w:spacing w:after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Маркировка согласно Регламенту (ЕС) № 1272/2008: отсутствует. Пиктограммы опасности: отсутствуют. Сигнальное слово: отсутствует. Указания на опасность: отсутствуют.</w:t>
      </w:r>
    </w:p>
    <w:p>
      <w:pPr>
        <w:spacing w:after="60" w:before="120"/>
      </w:pPr>
      <w:r>
        <w:rPr>
          <w:b/>
          <w:bCs/>
          <w:sz w:val="21"/>
          <w:szCs w:val="21"/>
        </w:rPr>
        <w:t xml:space="preserve">2.3 Прочие опасности</w:t>
      </w:r>
    </w:p>
    <w:p>
      <w:pPr>
        <w:spacing w:after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Опасность самовозгорания при контакте продукта с тампонами, текстильными материалами или полировальной пылью! (см. разделы 5, 6, 10, 13).</w:t>
      </w:r>
    </w:p>
    <w:p>
      <w:pPr>
        <w:spacing w:after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Результаты оценки СБТ и оСБсБ: не применимо.</w:t>
      </w:r>
    </w:p>
    <w:p>
      <w:pPr>
        <w:spacing w:after="160"/>
      </w:pPr>
    </w:p>
    <w:tbl>
      <w:tblPr>
        <w:tblW w:type="dxa" w:w="9906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9906"/>
      </w:tblGrid>
      <w:tr>
        <w:tc>
          <w:tcPr>
            <w:tcW w:type="dxa" w:w="9906"/>
            <w:shd w:fill="1F3864" w:color="auto" w:val="clear"/>
            <w:tcMar>
              <w:top w:type="dxa" w:w="100"/>
              <w:left w:type="dxa" w:w="120"/>
              <w:bottom w:type="dxa" w:w="100"/>
              <w:right w:type="dxa" w:w="120"/>
            </w:tcMar>
          </w:tcPr>
          <w:p>
            <w:r>
              <w:rPr>
                <w:b/>
                <w:bCs/>
                <w:color w:val="FFFFFF"/>
                <w:sz w:val="22"/>
                <w:szCs w:val="22"/>
              </w:rPr>
              <w:t xml:space="preserve">РАЗДЕЛ 3: Состав / информация о компонентах</w:t>
            </w:r>
          </w:p>
        </w:tc>
      </w:tr>
    </w:tbl>
    <w:p>
      <w:pPr>
        <w:spacing w:after="80"/>
      </w:pPr>
    </w:p>
    <w:p>
      <w:pPr>
        <w:spacing w:after="60" w:before="120"/>
      </w:pPr>
      <w:r>
        <w:rPr>
          <w:b/>
          <w:bCs/>
          <w:sz w:val="21"/>
          <w:szCs w:val="21"/>
        </w:rPr>
        <w:t xml:space="preserve">3.2 Смеси</w:t>
      </w:r>
    </w:p>
    <w:p>
      <w:pPr>
        <w:spacing w:after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Описание: смесь перечисленных ниже веществ с неопасными добавками.</w:t>
      </w:r>
    </w:p>
    <w:p>
      <w:pPr>
        <w:spacing w:after="60" w:before="120"/>
      </w:pPr>
      <w:r>
        <w:rPr>
          <w:b/>
          <w:bCs/>
          <w:sz w:val="21"/>
          <w:szCs w:val="21"/>
        </w:rPr>
        <w:t xml:space="preserve">Опасные компоненты:</w:t>
      </w:r>
    </w:p>
    <w:tbl>
      <w:tblPr>
        <w:tblW w:type="dxa" w:w="9906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2476"/>
        <w:gridCol w:w="2476"/>
        <w:gridCol w:w="2476"/>
        <w:gridCol w:w="2476"/>
      </w:tblGrid>
      <w:tr>
        <w:trPr>
          <w:tblHeader/>
        </w:trPr>
        <w:tc>
          <w:tcPr>
            <w:tcW w:type="dxa" w:w="2476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shd w:fill="D9E2F3" w:color="auto" w:val="clear"/>
            <w:tcMar>
              <w:top w:type="dxa" w:w="60"/>
              <w:left w:type="dxa" w:w="80"/>
              <w:bottom w:type="dxa" w:w="60"/>
              <w:right w:type="dxa" w:w="80"/>
            </w:tcMar>
          </w:tcPr>
          <w:p>
            <w:r>
              <w:rPr>
                <w:b/>
                <w:bCs/>
                <w:sz w:val="19"/>
                <w:szCs w:val="19"/>
              </w:rPr>
              <w:t xml:space="preserve">CAS / EINECS / Рег. №</w:t>
            </w:r>
          </w:p>
        </w:tc>
        <w:tc>
          <w:tcPr>
            <w:tcW w:type="dxa" w:w="2476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shd w:fill="D9E2F3" w:color="auto" w:val="clear"/>
            <w:tcMar>
              <w:top w:type="dxa" w:w="60"/>
              <w:left w:type="dxa" w:w="80"/>
              <w:bottom w:type="dxa" w:w="60"/>
              <w:right w:type="dxa" w:w="80"/>
            </w:tcMar>
          </w:tcPr>
          <w:p>
            <w:r>
              <w:rPr>
                <w:b/>
                <w:bCs/>
                <w:sz w:val="19"/>
                <w:szCs w:val="19"/>
              </w:rPr>
              <w:t xml:space="preserve">Название</w:t>
            </w:r>
          </w:p>
        </w:tc>
        <w:tc>
          <w:tcPr>
            <w:tcW w:type="dxa" w:w="2476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shd w:fill="D9E2F3" w:color="auto" w:val="clear"/>
            <w:tcMar>
              <w:top w:type="dxa" w:w="60"/>
              <w:left w:type="dxa" w:w="80"/>
              <w:bottom w:type="dxa" w:w="60"/>
              <w:right w:type="dxa" w:w="80"/>
            </w:tcMar>
          </w:tcPr>
          <w:p>
            <w:r>
              <w:rPr>
                <w:b/>
                <w:bCs/>
                <w:sz w:val="19"/>
                <w:szCs w:val="19"/>
              </w:rPr>
              <w:t xml:space="preserve">Классификация</w:t>
            </w:r>
          </w:p>
        </w:tc>
        <w:tc>
          <w:tcPr>
            <w:tcW w:type="dxa" w:w="2476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shd w:fill="D9E2F3" w:color="auto" w:val="clear"/>
            <w:tcMar>
              <w:top w:type="dxa" w:w="60"/>
              <w:left w:type="dxa" w:w="80"/>
              <w:bottom w:type="dxa" w:w="60"/>
              <w:right w:type="dxa" w:w="80"/>
            </w:tcMar>
          </w:tcPr>
          <w:p>
            <w:r>
              <w:rPr>
                <w:b/>
                <w:bCs/>
                <w:sz w:val="19"/>
                <w:szCs w:val="19"/>
              </w:rPr>
              <w:t xml:space="preserve">Конц.</w:t>
            </w:r>
          </w:p>
        </w:tc>
      </w:tr>
      <w:tr>
        <w:tc>
          <w:tcPr>
            <w:tcW w:type="dxa" w:w="2476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80"/>
              <w:bottom w:type="dxa" w:w="60"/>
              <w:right w:type="dxa" w:w="80"/>
            </w:tcMar>
          </w:tcPr>
          <w:p>
            <w:r>
              <w:rPr>
                <w:sz w:val="19"/>
                <w:szCs w:val="19"/>
              </w:rPr>
              <w:t xml:space="preserve">CAS: 8042-47-5
EINECS: 232-455-8
Рег. №: 01-2119487078-27</w:t>
            </w:r>
          </w:p>
        </w:tc>
        <w:tc>
          <w:tcPr>
            <w:tcW w:type="dxa" w:w="2476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80"/>
              <w:bottom w:type="dxa" w:w="60"/>
              <w:right w:type="dxa" w:w="80"/>
            </w:tcMar>
          </w:tcPr>
          <w:p>
            <w:r>
              <w:rPr>
                <w:sz w:val="19"/>
                <w:szCs w:val="19"/>
              </w:rPr>
              <w:t xml:space="preserve">Белое минеральное масло, нефтяное</w:t>
            </w:r>
          </w:p>
        </w:tc>
        <w:tc>
          <w:tcPr>
            <w:tcW w:type="dxa" w:w="2476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80"/>
              <w:bottom w:type="dxa" w:w="60"/>
              <w:right w:type="dxa" w:w="80"/>
            </w:tcMar>
          </w:tcPr>
          <w:p>
            <w:r>
              <w:rPr>
                <w:sz w:val="19"/>
                <w:szCs w:val="19"/>
              </w:rPr>
              <w:t xml:space="preserve">Asp. Tox. 1, H304</w:t>
            </w:r>
          </w:p>
        </w:tc>
        <w:tc>
          <w:tcPr>
            <w:tcW w:type="dxa" w:w="2476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80"/>
              <w:bottom w:type="dxa" w:w="60"/>
              <w:right w:type="dxa" w:w="80"/>
            </w:tcMar>
          </w:tcPr>
          <w:p>
            <w:r>
              <w:rPr>
                <w:sz w:val="19"/>
                <w:szCs w:val="19"/>
              </w:rPr>
              <w:t xml:space="preserve">5-&lt;10%</w:t>
            </w:r>
          </w:p>
        </w:tc>
      </w:tr>
    </w:tbl>
    <w:p>
      <w:pPr>
        <w:pBdr>
          <w:left w:val="single" w:color="1F3864" w:sz="18" w:space="8"/>
        </w:pBdr>
        <w:spacing w:after="100" w:before="100"/>
        <w:ind w:left="100"/>
      </w:pPr>
      <w:r>
        <w:rPr>
          <w:i/>
          <w:iCs/>
          <w:sz w:val="20"/>
          <w:szCs w:val="20"/>
        </w:rPr>
        <w:t xml:space="preserve">Указанные классы опасности/фразы относятся к чистому веществу-компоненту, а не к готовому продукту в том виде, в котором он продаётся и используется — сам продукт не классифицируется как опасный (см. раздел 2.1).</w:t>
      </w:r>
    </w:p>
    <w:p>
      <w:pPr>
        <w:spacing w:after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Дополнительная информация: формулировки указанных фраз опасности приведены в разделе 16.</w:t>
      </w:r>
    </w:p>
    <w:p>
      <w:pPr>
        <w:spacing w:after="160"/>
      </w:pPr>
    </w:p>
    <w:tbl>
      <w:tblPr>
        <w:tblW w:type="dxa" w:w="9906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9906"/>
      </w:tblGrid>
      <w:tr>
        <w:tc>
          <w:tcPr>
            <w:tcW w:type="dxa" w:w="9906"/>
            <w:shd w:fill="1F3864" w:color="auto" w:val="clear"/>
            <w:tcMar>
              <w:top w:type="dxa" w:w="100"/>
              <w:left w:type="dxa" w:w="120"/>
              <w:bottom w:type="dxa" w:w="100"/>
              <w:right w:type="dxa" w:w="120"/>
            </w:tcMar>
          </w:tcPr>
          <w:p>
            <w:r>
              <w:rPr>
                <w:b/>
                <w:bCs/>
                <w:color w:val="FFFFFF"/>
                <w:sz w:val="22"/>
                <w:szCs w:val="22"/>
              </w:rPr>
              <w:t xml:space="preserve">РАЗДЕЛ 4: Меры первой помощи</w:t>
            </w:r>
          </w:p>
        </w:tc>
      </w:tr>
    </w:tbl>
    <w:p>
      <w:pPr>
        <w:spacing w:after="80"/>
      </w:pPr>
    </w:p>
    <w:p>
      <w:pPr>
        <w:spacing w:after="60" w:before="120"/>
      </w:pPr>
      <w:r>
        <w:rPr>
          <w:b/>
          <w:bCs/>
          <w:sz w:val="21"/>
          <w:szCs w:val="21"/>
        </w:rPr>
        <w:t xml:space="preserve">4.1 Описание мер первой помощи</w:t>
      </w:r>
    </w:p>
    <w:p>
      <w:pPr>
        <w:spacing w:after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Общие сведения: особые меры не требуются. Также см. паспорт безопасности компонента B.</w:t>
      </w:r>
    </w:p>
    <w:p>
      <w:pPr>
        <w:spacing w:after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При вдыхании: при потере сознания уложить пострадавшего в устойчивое боковое положение для транспортировки.</w:t>
      </w:r>
    </w:p>
    <w:p>
      <w:pPr>
        <w:spacing w:after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При контакте с кожей: немедленно промыть водой с мылом и тщательно ополоснуть.</w:t>
      </w:r>
    </w:p>
    <w:p>
      <w:pPr>
        <w:spacing w:after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При контакте с глазами: промывать открытый глаз в течение нескольких минут под проточной водой, затем обратиться к врачу.</w:t>
      </w:r>
    </w:p>
    <w:p>
      <w:pPr>
        <w:spacing w:after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При проглатывании: не вызывать рвоту; немедленно вызвать врача.</w:t>
      </w:r>
    </w:p>
    <w:p>
      <w:pPr>
        <w:spacing w:after="60" w:before="120"/>
      </w:pPr>
      <w:r>
        <w:rPr>
          <w:b/>
          <w:bCs/>
          <w:sz w:val="21"/>
          <w:szCs w:val="21"/>
        </w:rPr>
        <w:t xml:space="preserve">4.2 Наиболее важные симптомы и эффекты, острые и отсроченные</w:t>
      </w:r>
    </w:p>
    <w:p>
      <w:pPr>
        <w:spacing w:after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Дополнительная значимая информация отсутствует.</w:t>
      </w:r>
    </w:p>
    <w:p>
      <w:pPr>
        <w:spacing w:after="60" w:before="120"/>
      </w:pPr>
      <w:r>
        <w:rPr>
          <w:b/>
          <w:bCs/>
          <w:sz w:val="21"/>
          <w:szCs w:val="21"/>
        </w:rPr>
        <w:t xml:space="preserve">4.3 Указание на необходимость немедленной медицинской помощи и специального лечения</w:t>
      </w:r>
    </w:p>
    <w:p>
      <w:pPr>
        <w:spacing w:after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Также см. паспорт безопасности компонента B.</w:t>
      </w:r>
    </w:p>
    <w:p>
      <w:pPr>
        <w:spacing w:after="160"/>
      </w:pPr>
    </w:p>
    <w:tbl>
      <w:tblPr>
        <w:tblW w:type="dxa" w:w="9906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9906"/>
      </w:tblGrid>
      <w:tr>
        <w:tc>
          <w:tcPr>
            <w:tcW w:type="dxa" w:w="9906"/>
            <w:shd w:fill="1F3864" w:color="auto" w:val="clear"/>
            <w:tcMar>
              <w:top w:type="dxa" w:w="100"/>
              <w:left w:type="dxa" w:w="120"/>
              <w:bottom w:type="dxa" w:w="100"/>
              <w:right w:type="dxa" w:w="120"/>
            </w:tcMar>
          </w:tcPr>
          <w:p>
            <w:r>
              <w:rPr>
                <w:b/>
                <w:bCs/>
                <w:color w:val="FFFFFF"/>
                <w:sz w:val="22"/>
                <w:szCs w:val="22"/>
              </w:rPr>
              <w:t xml:space="preserve">РАЗДЕЛ 5: Меры пожаротушения</w:t>
            </w:r>
          </w:p>
        </w:tc>
      </w:tr>
    </w:tbl>
    <w:p>
      <w:pPr>
        <w:spacing w:after="80"/>
      </w:pPr>
    </w:p>
    <w:p>
      <w:pPr>
        <w:spacing w:after="60" w:before="120"/>
      </w:pPr>
      <w:r>
        <w:rPr>
          <w:b/>
          <w:bCs/>
          <w:sz w:val="21"/>
          <w:szCs w:val="21"/>
        </w:rPr>
        <w:t xml:space="preserve">5.1 Средства пожаротушения</w:t>
      </w:r>
    </w:p>
    <w:p>
      <w:pPr>
        <w:spacing w:after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Подходящие средства: CO₂, порошок или распылённая вода. Крупные пожары тушить распылённой водой или пеной, устойчивой к спирту. Непригодные по соображениям безопасности: вода в виде компактной струи.</w:t>
      </w:r>
    </w:p>
    <w:p>
      <w:pPr>
        <w:spacing w:after="60" w:before="120"/>
      </w:pPr>
      <w:r>
        <w:rPr>
          <w:b/>
          <w:bCs/>
          <w:sz w:val="21"/>
          <w:szCs w:val="21"/>
        </w:rPr>
        <w:t xml:space="preserve">5.2 Особые опасности, исходящие от вещества или смеси</w:t>
      </w:r>
    </w:p>
    <w:p>
      <w:pPr>
        <w:spacing w:after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Дополнительная значимая информация отсутствует.</w:t>
      </w:r>
    </w:p>
    <w:p>
      <w:pPr>
        <w:spacing w:after="60" w:before="120"/>
      </w:pPr>
      <w:r>
        <w:rPr>
          <w:b/>
          <w:bCs/>
          <w:sz w:val="21"/>
          <w:szCs w:val="21"/>
        </w:rPr>
        <w:t xml:space="preserve">5.3 Рекомендации для пожарных</w:t>
      </w:r>
    </w:p>
    <w:p>
      <w:pPr>
        <w:spacing w:after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Средства защиты: респиратор для защиты органов дыхания. Опасность самовозгорания при контакте продукта с тампонами, текстильными материалами или полировальной пылью! Тщательно смочить водой ветошь, тампоны и т.п. и хранить или утилизировать в плотно закрытых ёмкостях.</w:t>
      </w:r>
    </w:p>
    <w:p>
      <w:pPr>
        <w:spacing w:after="160"/>
      </w:pPr>
    </w:p>
    <w:tbl>
      <w:tblPr>
        <w:tblW w:type="dxa" w:w="9906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9906"/>
      </w:tblGrid>
      <w:tr>
        <w:tc>
          <w:tcPr>
            <w:tcW w:type="dxa" w:w="9906"/>
            <w:shd w:fill="1F3864" w:color="auto" w:val="clear"/>
            <w:tcMar>
              <w:top w:type="dxa" w:w="100"/>
              <w:left w:type="dxa" w:w="120"/>
              <w:bottom w:type="dxa" w:w="100"/>
              <w:right w:type="dxa" w:w="120"/>
            </w:tcMar>
          </w:tcPr>
          <w:p>
            <w:r>
              <w:rPr>
                <w:b/>
                <w:bCs/>
                <w:color w:val="FFFFFF"/>
                <w:sz w:val="22"/>
                <w:szCs w:val="22"/>
              </w:rPr>
              <w:t xml:space="preserve">РАЗДЕЛ 6: Меры при случайном высвобождении</w:t>
            </w:r>
          </w:p>
        </w:tc>
      </w:tr>
    </w:tbl>
    <w:p>
      <w:pPr>
        <w:spacing w:after="80"/>
      </w:pPr>
    </w:p>
    <w:p>
      <w:pPr>
        <w:spacing w:after="60" w:before="120"/>
      </w:pPr>
      <w:r>
        <w:rPr>
          <w:b/>
          <w:bCs/>
          <w:sz w:val="21"/>
          <w:szCs w:val="21"/>
        </w:rPr>
        <w:t xml:space="preserve">6.1 Меры предосторожности для персонала, средства защиты и порядок действий в чрезвычайной ситуации</w:t>
      </w:r>
    </w:p>
    <w:p>
      <w:pPr>
        <w:spacing w:after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Использовать средства защиты. Не допускать незащищённых лиц.</w:t>
      </w:r>
    </w:p>
    <w:p>
      <w:pPr>
        <w:spacing w:after="60" w:before="120"/>
      </w:pPr>
      <w:r>
        <w:rPr>
          <w:b/>
          <w:bCs/>
          <w:sz w:val="21"/>
          <w:szCs w:val="21"/>
        </w:rPr>
        <w:t xml:space="preserve">6.2 Меры предосторожности для окружающей среды</w:t>
      </w:r>
    </w:p>
    <w:p>
      <w:pPr>
        <w:spacing w:after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Не допускать попадания в канализацию, поверхностные или грунтовые воды.</w:t>
      </w:r>
    </w:p>
    <w:p>
      <w:pPr>
        <w:spacing w:after="60" w:before="120"/>
      </w:pPr>
      <w:r>
        <w:rPr>
          <w:b/>
          <w:bCs/>
          <w:sz w:val="21"/>
          <w:szCs w:val="21"/>
        </w:rPr>
        <w:t xml:space="preserve">6.3 Методы и материалы для локализации и очистки</w:t>
      </w:r>
    </w:p>
    <w:p>
      <w:pPr>
        <w:spacing w:after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Впитать жидкосвязывающим материалом (песок, диатомит, кислотосвязывающие вещества, универсальные сорбенты, опилки).</w:t>
      </w:r>
    </w:p>
    <w:p>
      <w:pPr>
        <w:spacing w:after="60" w:before="120"/>
      </w:pPr>
      <w:r>
        <w:rPr>
          <w:b/>
          <w:bCs/>
          <w:sz w:val="21"/>
          <w:szCs w:val="21"/>
        </w:rPr>
        <w:t xml:space="preserve">6.4 Ссылка на другие разделы</w:t>
      </w:r>
    </w:p>
    <w:p>
      <w:pPr>
        <w:spacing w:after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Опасность самовозгорания при контакте продукта с тампонами, текстильными материалами или полировальной пылью! Тщательно смочить водой ветошь, тампоны и т.п. и хранить или утилизировать в плотно закрытых ёмкостях. См. раздел 7 (безопасное обращение), раздел 8 (СИЗ), раздел 13 (утилизация).</w:t>
      </w:r>
    </w:p>
    <w:p>
      <w:pPr>
        <w:spacing w:after="160"/>
      </w:pPr>
    </w:p>
    <w:tbl>
      <w:tblPr>
        <w:tblW w:type="dxa" w:w="9906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9906"/>
      </w:tblGrid>
      <w:tr>
        <w:tc>
          <w:tcPr>
            <w:tcW w:type="dxa" w:w="9906"/>
            <w:shd w:fill="1F3864" w:color="auto" w:val="clear"/>
            <w:tcMar>
              <w:top w:type="dxa" w:w="100"/>
              <w:left w:type="dxa" w:w="120"/>
              <w:bottom w:type="dxa" w:w="100"/>
              <w:right w:type="dxa" w:w="120"/>
            </w:tcMar>
          </w:tcPr>
          <w:p>
            <w:r>
              <w:rPr>
                <w:b/>
                <w:bCs/>
                <w:color w:val="FFFFFF"/>
                <w:sz w:val="22"/>
                <w:szCs w:val="22"/>
              </w:rPr>
              <w:t xml:space="preserve">РАЗДЕЛ 7: Обращение и хранение</w:t>
            </w:r>
          </w:p>
        </w:tc>
      </w:tr>
    </w:tbl>
    <w:p>
      <w:pPr>
        <w:spacing w:after="80"/>
      </w:pPr>
    </w:p>
    <w:p>
      <w:pPr>
        <w:spacing w:after="60" w:before="120"/>
      </w:pPr>
      <w:r>
        <w:rPr>
          <w:b/>
          <w:bCs/>
          <w:sz w:val="21"/>
          <w:szCs w:val="21"/>
        </w:rPr>
        <w:t xml:space="preserve">7.1 Меры предосторожности для безопасного обращения</w:t>
      </w:r>
    </w:p>
    <w:p>
      <w:pPr>
        <w:spacing w:after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Немедленно снимать всю загрязнённую одежду. Избегать контакта с глазами и кожей. Держать вдали от пищевых продуктов, напитков и корма. Мыть руки перед перерывами и по окончании работы. Также см. паспорт безопасности компонента B.</w:t>
      </w:r>
    </w:p>
    <w:p>
      <w:pPr>
        <w:spacing w:after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Информация о противопожарной и взрывозащите: особые меры не требуются.</w:t>
      </w:r>
    </w:p>
    <w:p>
      <w:pPr>
        <w:spacing w:after="60" w:before="120"/>
      </w:pPr>
      <w:r>
        <w:rPr>
          <w:b/>
          <w:bCs/>
          <w:sz w:val="21"/>
          <w:szCs w:val="21"/>
        </w:rPr>
        <w:t xml:space="preserve">7.2 Условия безопасного хранения с учётом несовместимости</w:t>
      </w:r>
    </w:p>
    <w:p>
      <w:pPr>
        <w:spacing w:after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Требования к складским помещениям и ёмкостям: особых требований нет. Совместное хранение: не требуется. Держать ёмкость плотно закрытой.</w:t>
      </w:r>
    </w:p>
    <w:p>
      <w:pPr>
        <w:spacing w:after="60" w:before="120"/>
      </w:pPr>
      <w:r>
        <w:rPr>
          <w:b/>
          <w:bCs/>
          <w:sz w:val="21"/>
          <w:szCs w:val="21"/>
        </w:rPr>
        <w:t xml:space="preserve">7.3 Конкретные конечные применения</w:t>
      </w:r>
    </w:p>
    <w:p>
      <w:pPr>
        <w:spacing w:after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Дополнительная значимая информация отсутствует.</w:t>
      </w:r>
    </w:p>
    <w:p>
      <w:pPr>
        <w:spacing w:after="160"/>
      </w:pPr>
    </w:p>
    <w:tbl>
      <w:tblPr>
        <w:tblW w:type="dxa" w:w="9906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9906"/>
      </w:tblGrid>
      <w:tr>
        <w:tc>
          <w:tcPr>
            <w:tcW w:type="dxa" w:w="9906"/>
            <w:shd w:fill="1F3864" w:color="auto" w:val="clear"/>
            <w:tcMar>
              <w:top w:type="dxa" w:w="100"/>
              <w:left w:type="dxa" w:w="120"/>
              <w:bottom w:type="dxa" w:w="100"/>
              <w:right w:type="dxa" w:w="120"/>
            </w:tcMar>
          </w:tcPr>
          <w:p>
            <w:r>
              <w:rPr>
                <w:b/>
                <w:bCs/>
                <w:color w:val="FFFFFF"/>
                <w:sz w:val="22"/>
                <w:szCs w:val="22"/>
              </w:rPr>
              <w:t xml:space="preserve">РАЗДЕЛ 8: Контроль воздействия / средства индивидуальной защиты</w:t>
            </w:r>
          </w:p>
        </w:tc>
      </w:tr>
    </w:tbl>
    <w:p>
      <w:pPr>
        <w:spacing w:after="80"/>
      </w:pPr>
    </w:p>
    <w:p>
      <w:pPr>
        <w:spacing w:after="60" w:before="120"/>
      </w:pPr>
      <w:r>
        <w:rPr>
          <w:b/>
          <w:bCs/>
          <w:sz w:val="21"/>
          <w:szCs w:val="21"/>
        </w:rPr>
        <w:t xml:space="preserve">8.1 Параметры контроля</w:t>
      </w:r>
    </w:p>
    <w:p>
      <w:pPr>
        <w:spacing w:after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Продукт не содержит значимых количеств материалов с критическими значениями, подлежащих контролю на рабочем месте.</w:t>
      </w:r>
    </w:p>
    <w:p>
      <w:pPr>
        <w:spacing w:after="60" w:before="120"/>
      </w:pPr>
      <w:r>
        <w:rPr>
          <w:b/>
          <w:bCs/>
          <w:sz w:val="21"/>
          <w:szCs w:val="21"/>
        </w:rPr>
        <w:t xml:space="preserve">8.2 Контроль воздействия</w:t>
      </w:r>
    </w:p>
    <w:p>
      <w:pPr>
        <w:spacing w:after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Общие защитные и гигиенические меры: соблюдать обычные меры предосторожности при работе с химикатами. Избегать контакта с глазами и кожей. Носить подходящую защитную одежду, перчатки и средства защиты глаз/лица. Держать вдали от пищевых продуктов, напитков и корма. Мыть руки перед перерывами и по окончании работы. Также см. паспорт безопасности компонента B.</w:t>
      </w:r>
    </w:p>
    <w:p>
      <w:pPr>
        <w:spacing w:after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Защита органов дыхания: не требуется. Обеспечить хорошую вентиляцию помещения при обработке.</w:t>
      </w:r>
    </w:p>
    <w:p>
      <w:pPr>
        <w:spacing w:after="60" w:before="120"/>
      </w:pPr>
      <w:r>
        <w:rPr>
          <w:b/>
          <w:bCs/>
          <w:sz w:val="21"/>
          <w:szCs w:val="21"/>
        </w:rPr>
        <w:t xml:space="preserve">Защита рук</w:t>
      </w:r>
    </w:p>
    <w:p>
      <w:pPr>
        <w:spacing w:after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Использовать перчатки из стабильного материала (например, нитрил), при необходимости трикотажные для улучшения носибельности (EN 374). Материал перчаток: бутилкаучук, нитрильный каучук; рекомендуемая толщина ≥ 0,5 мм. Точное время прорыва должно быть установлено производителем перчаток и соблюдаться.</w:t>
      </w:r>
    </w:p>
    <w:p>
      <w:pPr>
        <w:spacing w:after="60" w:before="120"/>
      </w:pPr>
      <w:r>
        <w:rPr>
          <w:b/>
          <w:bCs/>
          <w:sz w:val="21"/>
          <w:szCs w:val="21"/>
        </w:rPr>
        <w:t xml:space="preserve">Защита глаз/лица</w:t>
      </w:r>
    </w:p>
    <w:p>
      <w:pPr>
        <w:spacing w:after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Плотно прилегающие защитные очки (EN 166).</w:t>
      </w:r>
    </w:p>
    <w:p>
      <w:pPr>
        <w:spacing w:after="160"/>
      </w:pPr>
    </w:p>
    <w:tbl>
      <w:tblPr>
        <w:tblW w:type="dxa" w:w="9906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9906"/>
      </w:tblGrid>
      <w:tr>
        <w:tc>
          <w:tcPr>
            <w:tcW w:type="dxa" w:w="9906"/>
            <w:shd w:fill="1F3864" w:color="auto" w:val="clear"/>
            <w:tcMar>
              <w:top w:type="dxa" w:w="100"/>
              <w:left w:type="dxa" w:w="120"/>
              <w:bottom w:type="dxa" w:w="100"/>
              <w:right w:type="dxa" w:w="120"/>
            </w:tcMar>
          </w:tcPr>
          <w:p>
            <w:r>
              <w:rPr>
                <w:b/>
                <w:bCs/>
                <w:color w:val="FFFFFF"/>
                <w:sz w:val="22"/>
                <w:szCs w:val="22"/>
              </w:rPr>
              <w:t xml:space="preserve">РАЗДЕЛ 9: Физические и химические свойства</w:t>
            </w:r>
          </w:p>
        </w:tc>
      </w:tr>
    </w:tbl>
    <w:p>
      <w:pPr>
        <w:spacing w:after="80"/>
      </w:pPr>
    </w:p>
    <w:p>
      <w:pPr>
        <w:spacing w:after="60" w:before="120"/>
      </w:pPr>
      <w:r>
        <w:rPr>
          <w:b/>
          <w:bCs/>
          <w:sz w:val="21"/>
          <w:szCs w:val="21"/>
        </w:rPr>
        <w:t xml:space="preserve">9.1 Информация об основных физических и химических свойствах</w:t>
      </w:r>
    </w:p>
    <w:tbl>
      <w:tblPr>
        <w:tblW w:type="dxa" w:w="9906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4953"/>
        <w:gridCol w:w="4953"/>
      </w:tblGrid>
      <w:tr>
        <w:trPr>
          <w:tblHeader/>
        </w:trPr>
        <w:tc>
          <w:tcPr>
            <w:tcW w:type="dxa" w:w="4953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shd w:fill="D9E2F3" w:color="auto" w:val="clear"/>
            <w:tcMar>
              <w:top w:type="dxa" w:w="60"/>
              <w:left w:type="dxa" w:w="80"/>
              <w:bottom w:type="dxa" w:w="60"/>
              <w:right w:type="dxa" w:w="80"/>
            </w:tcMar>
          </w:tcPr>
          <w:p>
            <w:r>
              <w:rPr>
                <w:b/>
                <w:bCs/>
                <w:sz w:val="19"/>
                <w:szCs w:val="19"/>
              </w:rPr>
              <w:t xml:space="preserve">Параметр</w:t>
            </w:r>
          </w:p>
        </w:tc>
        <w:tc>
          <w:tcPr>
            <w:tcW w:type="dxa" w:w="4953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shd w:fill="D9E2F3" w:color="auto" w:val="clear"/>
            <w:tcMar>
              <w:top w:type="dxa" w:w="60"/>
              <w:left w:type="dxa" w:w="80"/>
              <w:bottom w:type="dxa" w:w="60"/>
              <w:right w:type="dxa" w:w="80"/>
            </w:tcMar>
          </w:tcPr>
          <w:p>
            <w:r>
              <w:rPr>
                <w:b/>
                <w:bCs/>
                <w:sz w:val="19"/>
                <w:szCs w:val="19"/>
              </w:rPr>
              <w:t xml:space="preserve">Значение</w:t>
            </w:r>
          </w:p>
        </w:tc>
      </w:tr>
      <w:tr>
        <w:tc>
          <w:tcPr>
            <w:tcW w:type="dxa" w:w="4953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80"/>
              <w:bottom w:type="dxa" w:w="60"/>
              <w:right w:type="dxa" w:w="80"/>
            </w:tcMar>
          </w:tcPr>
          <w:p>
            <w:r>
              <w:rPr>
                <w:sz w:val="19"/>
                <w:szCs w:val="19"/>
              </w:rPr>
              <w:t xml:space="preserve">Физическое состояние</w:t>
            </w:r>
          </w:p>
        </w:tc>
        <w:tc>
          <w:tcPr>
            <w:tcW w:type="dxa" w:w="4953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80"/>
              <w:bottom w:type="dxa" w:w="60"/>
              <w:right w:type="dxa" w:w="80"/>
            </w:tcMar>
          </w:tcPr>
          <w:p>
            <w:r>
              <w:rPr>
                <w:sz w:val="19"/>
                <w:szCs w:val="19"/>
              </w:rPr>
              <w:t xml:space="preserve">Текучая жидкость</w:t>
            </w:r>
          </w:p>
        </w:tc>
      </w:tr>
      <w:tr>
        <w:tc>
          <w:tcPr>
            <w:tcW w:type="dxa" w:w="4953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80"/>
              <w:bottom w:type="dxa" w:w="60"/>
              <w:right w:type="dxa" w:w="80"/>
            </w:tcMar>
          </w:tcPr>
          <w:p>
            <w:r>
              <w:rPr>
                <w:sz w:val="19"/>
                <w:szCs w:val="19"/>
              </w:rPr>
              <w:t xml:space="preserve">Цвет</w:t>
            </w:r>
          </w:p>
        </w:tc>
        <w:tc>
          <w:tcPr>
            <w:tcW w:type="dxa" w:w="4953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80"/>
              <w:bottom w:type="dxa" w:w="60"/>
              <w:right w:type="dxa" w:w="80"/>
            </w:tcMar>
          </w:tcPr>
          <w:p>
            <w:r>
              <w:rPr>
                <w:sz w:val="19"/>
                <w:szCs w:val="19"/>
              </w:rPr>
              <w:t xml:space="preserve">Различный в зависимости от колеровки</w:t>
            </w:r>
          </w:p>
        </w:tc>
      </w:tr>
      <w:tr>
        <w:tc>
          <w:tcPr>
            <w:tcW w:type="dxa" w:w="4953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80"/>
              <w:bottom w:type="dxa" w:w="60"/>
              <w:right w:type="dxa" w:w="80"/>
            </w:tcMar>
          </w:tcPr>
          <w:p>
            <w:r>
              <w:rPr>
                <w:sz w:val="19"/>
                <w:szCs w:val="19"/>
              </w:rPr>
              <w:t xml:space="preserve">Запах</w:t>
            </w:r>
          </w:p>
        </w:tc>
        <w:tc>
          <w:tcPr>
            <w:tcW w:type="dxa" w:w="4953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80"/>
              <w:bottom w:type="dxa" w:w="60"/>
              <w:right w:type="dxa" w:w="80"/>
            </w:tcMar>
          </w:tcPr>
          <w:p>
            <w:r>
              <w:rPr>
                <w:sz w:val="19"/>
                <w:szCs w:val="19"/>
              </w:rPr>
              <w:t xml:space="preserve">Слабый, характерный</w:t>
            </w:r>
          </w:p>
        </w:tc>
      </w:tr>
      <w:tr>
        <w:tc>
          <w:tcPr>
            <w:tcW w:type="dxa" w:w="4953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80"/>
              <w:bottom w:type="dxa" w:w="60"/>
              <w:right w:type="dxa" w:w="80"/>
            </w:tcMar>
          </w:tcPr>
          <w:p>
            <w:r>
              <w:rPr>
                <w:sz w:val="19"/>
                <w:szCs w:val="19"/>
              </w:rPr>
              <w:t xml:space="preserve">Точка плавления/замерзания</w:t>
            </w:r>
          </w:p>
        </w:tc>
        <w:tc>
          <w:tcPr>
            <w:tcW w:type="dxa" w:w="4953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80"/>
              <w:bottom w:type="dxa" w:w="60"/>
              <w:right w:type="dxa" w:w="80"/>
            </w:tcMar>
          </w:tcPr>
          <w:p>
            <w:r>
              <w:rPr>
                <w:sz w:val="19"/>
                <w:szCs w:val="19"/>
              </w:rPr>
              <w:t xml:space="preserve">Не определена</w:t>
            </w:r>
          </w:p>
        </w:tc>
      </w:tr>
      <w:tr>
        <w:tc>
          <w:tcPr>
            <w:tcW w:type="dxa" w:w="4953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80"/>
              <w:bottom w:type="dxa" w:w="60"/>
              <w:right w:type="dxa" w:w="80"/>
            </w:tcMar>
          </w:tcPr>
          <w:p>
            <w:r>
              <w:rPr>
                <w:sz w:val="19"/>
                <w:szCs w:val="19"/>
              </w:rPr>
              <w:t xml:space="preserve">Воспламеняемость</w:t>
            </w:r>
          </w:p>
        </w:tc>
        <w:tc>
          <w:tcPr>
            <w:tcW w:type="dxa" w:w="4953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80"/>
              <w:bottom w:type="dxa" w:w="60"/>
              <w:right w:type="dxa" w:w="80"/>
            </w:tcMar>
          </w:tcPr>
          <w:p>
            <w:r>
              <w:rPr>
                <w:sz w:val="19"/>
                <w:szCs w:val="19"/>
              </w:rPr>
              <w:t xml:space="preserve">Не применимо</w:t>
            </w:r>
          </w:p>
        </w:tc>
      </w:tr>
      <w:tr>
        <w:tc>
          <w:tcPr>
            <w:tcW w:type="dxa" w:w="4953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80"/>
              <w:bottom w:type="dxa" w:w="60"/>
              <w:right w:type="dxa" w:w="80"/>
            </w:tcMar>
          </w:tcPr>
          <w:p>
            <w:r>
              <w:rPr>
                <w:sz w:val="19"/>
                <w:szCs w:val="19"/>
              </w:rPr>
              <w:t xml:space="preserve">Температура вспышки</w:t>
            </w:r>
          </w:p>
        </w:tc>
        <w:tc>
          <w:tcPr>
            <w:tcW w:type="dxa" w:w="4953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80"/>
              <w:bottom w:type="dxa" w:w="60"/>
              <w:right w:type="dxa" w:w="80"/>
            </w:tcMar>
          </w:tcPr>
          <w:p>
            <w:r>
              <w:rPr>
                <w:sz w:val="19"/>
                <w:szCs w:val="19"/>
              </w:rPr>
              <w:t xml:space="preserve">&gt;100 °C</w:t>
            </w:r>
          </w:p>
        </w:tc>
      </w:tr>
      <w:tr>
        <w:tc>
          <w:tcPr>
            <w:tcW w:type="dxa" w:w="4953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80"/>
              <w:bottom w:type="dxa" w:w="60"/>
              <w:right w:type="dxa" w:w="80"/>
            </w:tcMar>
          </w:tcPr>
          <w:p>
            <w:r>
              <w:rPr>
                <w:sz w:val="19"/>
                <w:szCs w:val="19"/>
              </w:rPr>
              <w:t xml:space="preserve">pH</w:t>
            </w:r>
          </w:p>
        </w:tc>
        <w:tc>
          <w:tcPr>
            <w:tcW w:type="dxa" w:w="4953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80"/>
              <w:bottom w:type="dxa" w:w="60"/>
              <w:right w:type="dxa" w:w="80"/>
            </w:tcMar>
          </w:tcPr>
          <w:p>
            <w:r>
              <w:rPr>
                <w:sz w:val="19"/>
                <w:szCs w:val="19"/>
              </w:rPr>
              <w:t xml:space="preserve">Не определён</w:t>
            </w:r>
          </w:p>
        </w:tc>
      </w:tr>
      <w:tr>
        <w:tc>
          <w:tcPr>
            <w:tcW w:type="dxa" w:w="4953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80"/>
              <w:bottom w:type="dxa" w:w="60"/>
              <w:right w:type="dxa" w:w="80"/>
            </w:tcMar>
          </w:tcPr>
          <w:p>
            <w:r>
              <w:rPr>
                <w:sz w:val="19"/>
                <w:szCs w:val="19"/>
              </w:rPr>
              <w:t xml:space="preserve">Растворимость в воде</w:t>
            </w:r>
          </w:p>
        </w:tc>
        <w:tc>
          <w:tcPr>
            <w:tcW w:type="dxa" w:w="4953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80"/>
              <w:bottom w:type="dxa" w:w="60"/>
              <w:right w:type="dxa" w:w="80"/>
            </w:tcMar>
          </w:tcPr>
          <w:p>
            <w:r>
              <w:rPr>
                <w:sz w:val="19"/>
                <w:szCs w:val="19"/>
              </w:rPr>
              <w:t xml:space="preserve">Не смешивается или трудно смешивается</w:t>
            </w:r>
          </w:p>
        </w:tc>
      </w:tr>
      <w:tr>
        <w:tc>
          <w:tcPr>
            <w:tcW w:type="dxa" w:w="4953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80"/>
              <w:bottom w:type="dxa" w:w="60"/>
              <w:right w:type="dxa" w:w="80"/>
            </w:tcMar>
          </w:tcPr>
          <w:p>
            <w:r>
              <w:rPr>
                <w:sz w:val="19"/>
                <w:szCs w:val="19"/>
              </w:rPr>
              <w:t xml:space="preserve">Плотность при 20 °C</w:t>
            </w:r>
          </w:p>
        </w:tc>
        <w:tc>
          <w:tcPr>
            <w:tcW w:type="dxa" w:w="4953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80"/>
              <w:bottom w:type="dxa" w:w="60"/>
              <w:right w:type="dxa" w:w="80"/>
            </w:tcMar>
          </w:tcPr>
          <w:p>
            <w:r>
              <w:rPr>
                <w:sz w:val="19"/>
                <w:szCs w:val="19"/>
              </w:rPr>
              <w:t xml:space="preserve">~1,2 г/см³</w:t>
            </w:r>
          </w:p>
        </w:tc>
      </w:tr>
    </w:tbl>
    <w:p>
      <w:pPr>
        <w:spacing w:after="60" w:before="120"/>
      </w:pPr>
      <w:r>
        <w:rPr>
          <w:b/>
          <w:bCs/>
          <w:sz w:val="21"/>
          <w:szCs w:val="21"/>
        </w:rPr>
        <w:t xml:space="preserve">9.2 Прочая информация</w:t>
      </w:r>
    </w:p>
    <w:p>
      <w:pPr>
        <w:spacing w:after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Температура воспламенения: соблюдать опасность самовозгорания при контакте продукта с тампонами, текстильными материалами или полировальной пылью (см. разделы 5, 6, 7, 10, 13). Взрывоопасные свойства: продукт не представляет взрывоопасности.</w:t>
      </w:r>
    </w:p>
    <w:p>
      <w:pPr>
        <w:spacing w:after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Все классы физической опасности (взрывчатые вещества, легковоспламеняющиеся газы, аэрозоли и т.д.) — отсутствуют.</w:t>
      </w:r>
    </w:p>
    <w:p>
      <w:pPr>
        <w:spacing w:after="160"/>
      </w:pPr>
    </w:p>
    <w:tbl>
      <w:tblPr>
        <w:tblW w:type="dxa" w:w="9906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9906"/>
      </w:tblGrid>
      <w:tr>
        <w:tc>
          <w:tcPr>
            <w:tcW w:type="dxa" w:w="9906"/>
            <w:shd w:fill="1F3864" w:color="auto" w:val="clear"/>
            <w:tcMar>
              <w:top w:type="dxa" w:w="100"/>
              <w:left w:type="dxa" w:w="120"/>
              <w:bottom w:type="dxa" w:w="100"/>
              <w:right w:type="dxa" w:w="120"/>
            </w:tcMar>
          </w:tcPr>
          <w:p>
            <w:r>
              <w:rPr>
                <w:b/>
                <w:bCs/>
                <w:color w:val="FFFFFF"/>
                <w:sz w:val="22"/>
                <w:szCs w:val="22"/>
              </w:rPr>
              <w:t xml:space="preserve">РАЗДЕЛ 10: Стабильность и реакционная способность</w:t>
            </w:r>
          </w:p>
        </w:tc>
      </w:tr>
    </w:tbl>
    <w:p>
      <w:pPr>
        <w:spacing w:after="80"/>
      </w:pPr>
    </w:p>
    <w:p>
      <w:pPr>
        <w:spacing w:after="60" w:before="120"/>
      </w:pPr>
      <w:r>
        <w:rPr>
          <w:b/>
          <w:bCs/>
          <w:sz w:val="21"/>
          <w:szCs w:val="21"/>
        </w:rPr>
        <w:t xml:space="preserve">10.1 Реакционная способность</w:t>
      </w:r>
    </w:p>
    <w:p>
      <w:pPr>
        <w:spacing w:after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Дополнительная значимая информация отсутствует.</w:t>
      </w:r>
    </w:p>
    <w:p>
      <w:pPr>
        <w:spacing w:after="60" w:before="120"/>
      </w:pPr>
      <w:r>
        <w:rPr>
          <w:b/>
          <w:bCs/>
          <w:sz w:val="21"/>
          <w:szCs w:val="21"/>
        </w:rPr>
        <w:t xml:space="preserve">10.2 Химическая стабильность</w:t>
      </w:r>
    </w:p>
    <w:p>
      <w:pPr>
        <w:spacing w:after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Термическое разложение / условия, которых следует избегать: разложение не происходит при использовании по назначению.</w:t>
      </w:r>
    </w:p>
    <w:p>
      <w:pPr>
        <w:spacing w:after="60" w:before="120"/>
      </w:pPr>
      <w:r>
        <w:rPr>
          <w:b/>
          <w:bCs/>
          <w:sz w:val="21"/>
          <w:szCs w:val="21"/>
        </w:rPr>
        <w:t xml:space="preserve">10.3 Возможность опасных реакций</w:t>
      </w:r>
    </w:p>
    <w:p>
      <w:pPr>
        <w:spacing w:after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Опасность самовозгорания при контакте продукта с тампонами, текстильными материалами или полировальной пылью! Тщательно смочить водой ветошь, тампоны и т.п. и утилизировать в плотно закрытых ёмкостях.</w:t>
      </w:r>
    </w:p>
    <w:p>
      <w:pPr>
        <w:spacing w:after="60" w:before="120"/>
      </w:pPr>
      <w:r>
        <w:rPr>
          <w:b/>
          <w:bCs/>
          <w:sz w:val="21"/>
          <w:szCs w:val="21"/>
        </w:rPr>
        <w:t xml:space="preserve">10.4–10.6</w:t>
      </w:r>
    </w:p>
    <w:p>
      <w:pPr>
        <w:spacing w:after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Условия, которых следует избегать, и несовместимые материалы: дополнительная значимая информация отсутствует. Опасные продукты разложения не известны. Также см. паспорт безопасности компонента B.</w:t>
      </w:r>
    </w:p>
    <w:p>
      <w:pPr>
        <w:spacing w:after="160"/>
      </w:pPr>
    </w:p>
    <w:tbl>
      <w:tblPr>
        <w:tblW w:type="dxa" w:w="9906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9906"/>
      </w:tblGrid>
      <w:tr>
        <w:tc>
          <w:tcPr>
            <w:tcW w:type="dxa" w:w="9906"/>
            <w:shd w:fill="1F3864" w:color="auto" w:val="clear"/>
            <w:tcMar>
              <w:top w:type="dxa" w:w="100"/>
              <w:left w:type="dxa" w:w="120"/>
              <w:bottom w:type="dxa" w:w="100"/>
              <w:right w:type="dxa" w:w="120"/>
            </w:tcMar>
          </w:tcPr>
          <w:p>
            <w:r>
              <w:rPr>
                <w:b/>
                <w:bCs/>
                <w:color w:val="FFFFFF"/>
                <w:sz w:val="22"/>
                <w:szCs w:val="22"/>
              </w:rPr>
              <w:t xml:space="preserve">РАЗДЕЛ 11: Токсикологическая информация</w:t>
            </w:r>
          </w:p>
        </w:tc>
      </w:tr>
    </w:tbl>
    <w:p>
      <w:pPr>
        <w:spacing w:after="80"/>
      </w:pPr>
    </w:p>
    <w:p>
      <w:pPr>
        <w:spacing w:after="60" w:before="120"/>
      </w:pPr>
      <w:r>
        <w:rPr>
          <w:b/>
          <w:bCs/>
          <w:sz w:val="21"/>
          <w:szCs w:val="21"/>
        </w:rPr>
        <w:t xml:space="preserve">11.1 Информация о классах опасности согласно Регламенту (ЕС) № 1272/2008</w:t>
      </w:r>
    </w:p>
    <w:p>
      <w:pPr>
        <w:spacing w:after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Острая токсичность, коррозия/раздражение кожи, серьёзное повреждение глаз/раздражение, сенсибилизация дыхательных путей/кожи, мутагенность зародышевых клеток, канцерогенность, репродуктивная токсичность, специфическая токсичность на органы-мишени (однократное и повторное воздействие), опасность при аспирации: на основании имеющихся данных критерии классификации не выполняются.</w:t>
      </w:r>
    </w:p>
    <w:p>
      <w:pPr>
        <w:spacing w:after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Дополнительная токсикологическая информация: также см. паспорт безопасности компонента B.</w:t>
      </w:r>
    </w:p>
    <w:p>
      <w:pPr>
        <w:spacing w:after="60" w:before="120"/>
      </w:pPr>
      <w:r>
        <w:rPr>
          <w:b/>
          <w:bCs/>
          <w:sz w:val="21"/>
          <w:szCs w:val="21"/>
        </w:rPr>
        <w:t xml:space="preserve">11.2 Информация о прочих опасностях</w:t>
      </w:r>
    </w:p>
    <w:p>
      <w:pPr>
        <w:spacing w:after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Свойства эндокринных разрушителей: ни один из компонентов не включён в перечень.</w:t>
      </w:r>
    </w:p>
    <w:p>
      <w:pPr>
        <w:spacing w:after="160"/>
      </w:pPr>
    </w:p>
    <w:tbl>
      <w:tblPr>
        <w:tblW w:type="dxa" w:w="9906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9906"/>
      </w:tblGrid>
      <w:tr>
        <w:tc>
          <w:tcPr>
            <w:tcW w:type="dxa" w:w="9906"/>
            <w:shd w:fill="1F3864" w:color="auto" w:val="clear"/>
            <w:tcMar>
              <w:top w:type="dxa" w:w="100"/>
              <w:left w:type="dxa" w:w="120"/>
              <w:bottom w:type="dxa" w:w="100"/>
              <w:right w:type="dxa" w:w="120"/>
            </w:tcMar>
          </w:tcPr>
          <w:p>
            <w:r>
              <w:rPr>
                <w:b/>
                <w:bCs/>
                <w:color w:val="FFFFFF"/>
                <w:sz w:val="22"/>
                <w:szCs w:val="22"/>
              </w:rPr>
              <w:t xml:space="preserve">РАЗДЕЛ 12: Экологическая информация</w:t>
            </w:r>
          </w:p>
        </w:tc>
      </w:tr>
    </w:tbl>
    <w:p>
      <w:pPr>
        <w:spacing w:after="80"/>
      </w:pPr>
    </w:p>
    <w:p>
      <w:pPr>
        <w:spacing w:after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12.1 Токсичность: дополнительная значимая информация отсутствует.</w:t>
      </w:r>
    </w:p>
    <w:p>
      <w:pPr>
        <w:spacing w:after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12.2 Стойкость и способность к деградации: дополнительная значимая информация отсутствует.</w:t>
      </w:r>
    </w:p>
    <w:p>
      <w:pPr>
        <w:spacing w:after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12.3 Биоаккумулятивный потенциал: дополнительная значимая информация отсутствует.</w:t>
      </w:r>
    </w:p>
    <w:p>
      <w:pPr>
        <w:spacing w:after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12.4 Мобильность в почве: дополнительная значимая информация отсутствует.</w:t>
      </w:r>
    </w:p>
    <w:p>
      <w:pPr>
        <w:spacing w:after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12.5 Результаты оценки СБТ и оСБсБ: не применимо.</w:t>
      </w:r>
    </w:p>
    <w:p>
      <w:pPr>
        <w:spacing w:after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12.6 Свойства эндокринных разрушителей: продукт не содержит веществ с эндокринно-разрушающими свойствами.</w:t>
      </w:r>
    </w:p>
    <w:p>
      <w:pPr>
        <w:spacing w:after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12.7 Прочие неблагоприятные эффекты: не допускать попадания продукта в грунтовые воды, водоёмы или канализацию.</w:t>
      </w:r>
    </w:p>
    <w:p>
      <w:pPr>
        <w:spacing w:after="160"/>
      </w:pPr>
    </w:p>
    <w:tbl>
      <w:tblPr>
        <w:tblW w:type="dxa" w:w="9906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9906"/>
      </w:tblGrid>
      <w:tr>
        <w:tc>
          <w:tcPr>
            <w:tcW w:type="dxa" w:w="9906"/>
            <w:shd w:fill="1F3864" w:color="auto" w:val="clear"/>
            <w:tcMar>
              <w:top w:type="dxa" w:w="100"/>
              <w:left w:type="dxa" w:w="120"/>
              <w:bottom w:type="dxa" w:w="100"/>
              <w:right w:type="dxa" w:w="120"/>
            </w:tcMar>
          </w:tcPr>
          <w:p>
            <w:r>
              <w:rPr>
                <w:b/>
                <w:bCs/>
                <w:color w:val="FFFFFF"/>
                <w:sz w:val="22"/>
                <w:szCs w:val="22"/>
              </w:rPr>
              <w:t xml:space="preserve">РАЗДЕЛ 13: Рекомендации по утилизации</w:t>
            </w:r>
          </w:p>
        </w:tc>
      </w:tr>
    </w:tbl>
    <w:p>
      <w:pPr>
        <w:spacing w:after="80"/>
      </w:pPr>
    </w:p>
    <w:p>
      <w:pPr>
        <w:spacing w:after="60" w:before="120"/>
      </w:pPr>
      <w:r>
        <w:rPr>
          <w:b/>
          <w:bCs/>
          <w:sz w:val="21"/>
          <w:szCs w:val="21"/>
        </w:rPr>
        <w:t xml:space="preserve">13.1 Методы обработки отходов</w:t>
      </w:r>
    </w:p>
    <w:p>
      <w:pPr>
        <w:spacing w:after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Не допускать попадания продукта в канализацию. Опасность самовозгорания при контакте продукта с тампонами, текстильными материалами или полировальной пылью! Тщательно смочить водой ветошь, тампоны и т.п. и утилизировать в плотно закрытых ёмкостях. Утилизация — в соответствии с местным, региональным или национальным законодательством.</w:t>
      </w:r>
    </w:p>
    <w:p>
      <w:pPr>
        <w:spacing w:after="60" w:before="120"/>
      </w:pPr>
      <w:r>
        <w:rPr>
          <w:b/>
          <w:bCs/>
          <w:sz w:val="21"/>
          <w:szCs w:val="21"/>
        </w:rPr>
        <w:t xml:space="preserve">Неочищенная упаковка</w:t>
      </w:r>
    </w:p>
    <w:p>
      <w:pPr>
        <w:spacing w:after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Тщательно опорожнять загрязнённую упаковку. После тщательной и надлежащей очистки она может быть направлена на переработку.</w:t>
      </w:r>
    </w:p>
    <w:p>
      <w:pPr>
        <w:spacing w:after="160"/>
      </w:pPr>
    </w:p>
    <w:tbl>
      <w:tblPr>
        <w:tblW w:type="dxa" w:w="9906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9906"/>
      </w:tblGrid>
      <w:tr>
        <w:tc>
          <w:tcPr>
            <w:tcW w:type="dxa" w:w="9906"/>
            <w:shd w:fill="1F3864" w:color="auto" w:val="clear"/>
            <w:tcMar>
              <w:top w:type="dxa" w:w="100"/>
              <w:left w:type="dxa" w:w="120"/>
              <w:bottom w:type="dxa" w:w="100"/>
              <w:right w:type="dxa" w:w="120"/>
            </w:tcMar>
          </w:tcPr>
          <w:p>
            <w:r>
              <w:rPr>
                <w:b/>
                <w:bCs/>
                <w:color w:val="FFFFFF"/>
                <w:sz w:val="22"/>
                <w:szCs w:val="22"/>
              </w:rPr>
              <w:t xml:space="preserve">РАЗДЕЛ 14: Транспортная информация</w:t>
            </w:r>
          </w:p>
        </w:tc>
      </w:tr>
    </w:tbl>
    <w:p>
      <w:pPr>
        <w:spacing w:after="80"/>
      </w:pPr>
    </w:p>
    <w:p>
      <w:pPr>
        <w:spacing w:after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14.1–14.4: номер ООН, наименование, класс опасности, группа упаковки (ADR, ADN, IMDG, IATA) — отсутствуют.</w:t>
      </w:r>
    </w:p>
    <w:p>
      <w:pPr>
        <w:spacing w:after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14.5 Опасность для окружающей среды: загрязнитель морской среды — нет.</w:t>
      </w:r>
    </w:p>
    <w:p>
      <w:pPr>
        <w:spacing w:after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14.6–14.7: особые меры предосторожности, морская перевозка навалом — не применимо.</w:t>
      </w:r>
    </w:p>
    <w:p>
      <w:pPr>
        <w:spacing w:after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Дополнительная информация: не является опасным согласно вышеуказанным характеристикам. «Модельные правила» ООН: отсутствует.</w:t>
      </w:r>
    </w:p>
    <w:p>
      <w:pPr>
        <w:spacing w:after="160"/>
      </w:pPr>
    </w:p>
    <w:tbl>
      <w:tblPr>
        <w:tblW w:type="dxa" w:w="9906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9906"/>
      </w:tblGrid>
      <w:tr>
        <w:tc>
          <w:tcPr>
            <w:tcW w:type="dxa" w:w="9906"/>
            <w:shd w:fill="1F3864" w:color="auto" w:val="clear"/>
            <w:tcMar>
              <w:top w:type="dxa" w:w="100"/>
              <w:left w:type="dxa" w:w="120"/>
              <w:bottom w:type="dxa" w:w="100"/>
              <w:right w:type="dxa" w:w="120"/>
            </w:tcMar>
          </w:tcPr>
          <w:p>
            <w:r>
              <w:rPr>
                <w:b/>
                <w:bCs/>
                <w:color w:val="FFFFFF"/>
                <w:sz w:val="22"/>
                <w:szCs w:val="22"/>
              </w:rPr>
              <w:t xml:space="preserve">РАЗДЕЛ 15: Нормативная информация</w:t>
            </w:r>
          </w:p>
        </w:tc>
      </w:tr>
    </w:tbl>
    <w:p>
      <w:pPr>
        <w:spacing w:after="80"/>
      </w:pPr>
    </w:p>
    <w:p>
      <w:pPr>
        <w:spacing w:after="60" w:before="120"/>
      </w:pPr>
      <w:r>
        <w:rPr>
          <w:b/>
          <w:bCs/>
          <w:sz w:val="21"/>
          <w:szCs w:val="21"/>
        </w:rPr>
        <w:t xml:space="preserve">15.1 Правила техники безопасности, охраны здоровья и окружающей среды/законодательство для данного вещества или смеси</w:t>
      </w:r>
    </w:p>
    <w:p>
      <w:pPr>
        <w:spacing w:after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Директива 2012/18/ЕС: поимённо указанные опасные вещества — Приложение I — ни один из компонентов не включён в перечень.</w:t>
      </w:r>
    </w:p>
    <w:p>
      <w:pPr>
        <w:spacing w:after="60" w:before="120"/>
      </w:pPr>
      <w:r>
        <w:rPr>
          <w:b/>
          <w:bCs/>
          <w:sz w:val="21"/>
          <w:szCs w:val="21"/>
        </w:rPr>
        <w:t xml:space="preserve">15.2 Оценка химической безопасности</w:t>
      </w:r>
    </w:p>
    <w:p>
      <w:pPr>
        <w:spacing w:after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Оценка химической безопасности не проводилась.</w:t>
      </w:r>
    </w:p>
    <w:p>
      <w:pPr>
        <w:spacing w:after="160"/>
      </w:pPr>
    </w:p>
    <w:tbl>
      <w:tblPr>
        <w:tblW w:type="dxa" w:w="9906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9906"/>
      </w:tblGrid>
      <w:tr>
        <w:tc>
          <w:tcPr>
            <w:tcW w:type="dxa" w:w="9906"/>
            <w:shd w:fill="1F3864" w:color="auto" w:val="clear"/>
            <w:tcMar>
              <w:top w:type="dxa" w:w="100"/>
              <w:left w:type="dxa" w:w="120"/>
              <w:bottom w:type="dxa" w:w="100"/>
              <w:right w:type="dxa" w:w="120"/>
            </w:tcMar>
          </w:tcPr>
          <w:p>
            <w:r>
              <w:rPr>
                <w:b/>
                <w:bCs/>
                <w:color w:val="FFFFFF"/>
                <w:sz w:val="22"/>
                <w:szCs w:val="22"/>
              </w:rPr>
              <w:t xml:space="preserve">РАЗДЕЛ 16: Прочая информация</w:t>
            </w:r>
          </w:p>
        </w:tc>
      </w:tr>
    </w:tbl>
    <w:p>
      <w:pPr>
        <w:spacing w:after="80"/>
      </w:pPr>
    </w:p>
    <w:p>
      <w:pPr>
        <w:spacing w:after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Информация основана на текущих знаниях. Однако она не является гарантией каких-либо конкретных свойств продукта и не устанавливает юридически обязывающих договорных отношений.</w:t>
      </w:r>
    </w:p>
    <w:p>
      <w:pPr>
        <w:spacing w:after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Данный паспорт безопасности соответствует Регламенту (ЕС) № 1907/2006, Статья 31, с изменениями, внесёнными Регламентом (ЕС) 2020/878.</w:t>
      </w:r>
    </w:p>
    <w:p>
      <w:pPr>
        <w:spacing w:after="60" w:before="120"/>
      </w:pPr>
      <w:r>
        <w:rPr>
          <w:b/>
          <w:bCs/>
          <w:sz w:val="21"/>
          <w:szCs w:val="21"/>
        </w:rPr>
        <w:t xml:space="preserve">Релевантные фразы</w:t>
      </w:r>
    </w:p>
    <w:p>
      <w:pPr>
        <w:spacing w:after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H304 — Может быть смертельно опасно при проглатывании и попадании в дыхательные пути.</w:t>
      </w:r>
    </w:p>
    <w:p>
      <w:pPr>
        <w:pBdr>
          <w:left w:val="single" w:color="1F3864" w:sz="18" w:space="8"/>
        </w:pBdr>
        <w:spacing w:after="100" w:before="100"/>
        <w:ind w:left="100"/>
      </w:pPr>
      <w:r>
        <w:rPr>
          <w:i/>
          <w:iCs/>
          <w:sz w:val="20"/>
          <w:szCs w:val="20"/>
        </w:rPr>
        <w:t xml:space="preserve">Указанные классы опасности/фразы относятся к чистому веществу-компоненту, а не к готовому продукту в том виде, в котором он продаётся и используется — сам продукт не классифицируется как опасный (см. раздел 2.1).</w:t>
      </w:r>
    </w:p>
    <w:p>
      <w:pPr>
        <w:spacing w:after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Рекомендуемое ограничение использования: только для профессионального использования.</w:t>
      </w:r>
    </w:p>
    <w:p>
      <w:pPr>
        <w:spacing w:after="60" w:before="120"/>
      </w:pPr>
      <w:r>
        <w:rPr>
          <w:b/>
          <w:bCs/>
          <w:sz w:val="21"/>
          <w:szCs w:val="21"/>
        </w:rPr>
        <w:t xml:space="preserve">Контакт</w:t>
      </w:r>
    </w:p>
    <w:p>
      <w:pPr>
        <w:spacing w:after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E-mail: msds.info@pallmann.net</w:t>
      </w:r>
    </w:p>
    <w:p>
      <w:pPr>
        <w:spacing w:after="60" w:before="120"/>
      </w:pPr>
      <w:r>
        <w:rPr>
          <w:b/>
          <w:bCs/>
          <w:sz w:val="21"/>
          <w:szCs w:val="21"/>
        </w:rPr>
        <w:t xml:space="preserve">Сокращения и акронимы</w:t>
      </w:r>
    </w:p>
    <w:p>
      <w:pPr>
        <w:spacing w:after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RID, ICAO, ADR, IMDG, IATA, GHS, EINECS, ELINCS, CAS — см. стандартный глоссарий. СБТ — стойкое, биоаккумулятивное и токсичное вещество. оСБсБ — очень стойкое и очень биоаккумулятивное вещество. Asp. Tox. 1 — опасность при аспирации, категория 1.</w:t>
      </w:r>
    </w:p>
    <w:p>
      <w:pPr>
        <w:spacing w:after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* Данные изменены по сравнению с предыдущей версией.</w:t>
      </w:r>
    </w:p>
    <w:p>
      <w:pPr>
        <w:spacing w:after="160"/>
      </w:pPr>
    </w:p>
    <w:sectPr>
      <w:pgSz w:w="11906" w:h="16838" w:orient="portrait"/>
      <w:pgMar w:top="1000" w:right="1000" w:bottom="1000" w:left="100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2026-07-21T10:17:31.714Z</dcterms:created>
  <dcterms:modified xsi:type="dcterms:W3CDTF">2026-07-21T10:17:31.715Z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