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4"/>
          <w:szCs w:val="34"/>
        </w:rPr>
        <w:t xml:space="preserve">Паспорт безопасности</w:t>
      </w:r>
    </w:p>
    <w:p>
      <w:pPr>
        <w:spacing w:after="120"/>
        <w:jc w:val="center"/>
      </w:pPr>
      <w:r>
        <w:rPr>
          <w:i/>
          <w:iCs/>
          <w:sz w:val="22"/>
          <w:szCs w:val="22"/>
        </w:rPr>
        <w:t xml:space="preserve">согласно 1907/2006/EC, Статья 31</w:t>
      </w:r>
    </w:p>
    <w:p>
      <w:pPr>
        <w:pBdr>
          <w:bottom w:val="single" w:color="000000" w:sz="8" w:space="4"/>
        </w:pBdr>
        <w:spacing w:after="200"/>
        <w:jc w:val="center"/>
      </w:pPr>
      <w:r>
        <w:rPr>
          <w:b/>
          <w:bCs/>
          <w:sz w:val="26"/>
          <w:szCs w:val="26"/>
        </w:rPr>
        <w:t xml:space="preserve">MAGIC OIL 2K PURE Comp. B</w:t>
      </w:r>
    </w:p>
    <w:p>
      <w:pPr>
        <w:spacing w:after="200"/>
        <w:jc w:val="center"/>
      </w:pPr>
      <w:r>
        <w:rPr>
          <w:color w:val="444444"/>
          <w:sz w:val="18"/>
          <w:szCs w:val="18"/>
        </w:rPr>
        <w:t xml:space="preserve">Дата печати: 26.05.2023 · Версия № 1 · Пересмотр: 26.05.2023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Торговое название: MAGIC OIL 2K PURE Comp. B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виды использования вещества или смеси и виды использования, которые не рекомендуются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</w:pPr>
      <w:r>
        <w:rPr>
          <w:sz w:val="21"/>
          <w:szCs w:val="21"/>
        </w:rPr>
        <w:t xml:space="preserve">●  SU19 Строительные и строительно-монтажные работы</w:t>
      </w:r>
    </w:p>
    <w:p>
      <w:pPr>
        <w:spacing w:after="0"/>
      </w:pPr>
      <w:r>
        <w:rPr>
          <w:sz w:val="21"/>
          <w:szCs w:val="21"/>
        </w:rPr>
        <w:t xml:space="preserve">●  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Категория продукта: PC31 Полироли и восковые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Применение вещества/смеси: 2-компонентное масло для деревянных полов (компонент B)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Сведения о поставщике паспорта безопасности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Производитель/поставщик: PALLMANN GmbH, Im Kreuz 6, D-97076 Würzburg. Тел.: +49 (0)931-27964-0. Факс: +49 (0)931-27964-50.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Дополнительную информацию можно получить: Products Development Lab, e-mail: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для экстренной связи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Медицинские экстренные случаи (GIZ-Nord): +49 551 19240. Транспортные аварийные ситуации: +49 621 60 43 333.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Пиктограмма GHS07. Acute Tox. 4, H332 — Вредно при вдыхании. Skin Sens. 1, H317 — Может вызывать аллергическую реакцию кожи. STOT SE 3, H335 — Может вызывать раздражение дыхательных путей.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классифицирован и маркирован согласно регламенту GB CLP. Пиктограмма: GHS07. Сигнальное слово: Внимание.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Компонент, определяющий маркировку: 1,6-гексаметилендиизоцианат гомополимер.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Указания на опасность: H332, H317, H335 (см. выше).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Меры предосторожности: P102 Хранить в недоступном для детей месте. P280 Использовать защитные перчатки/средства защиты глаз. P302+P352 ПРИ ПОПАДАНИИ НА КОЖУ: промыть большим количеством воды с мылом. P304+P340 ПРИ ВДЫХАНИИ: вывести пострадавшего на свежий воздух и обеспечить условия для комфортного дыхания. P305+P351+P338 ПРИ ПОПАДАНИИ В ГЛАЗА: осторожно промывать глаза водой в течение нескольких минут; снять контактные линзы, если это легко сделать; продолжить промывание. P333+P313 При раздражении или сыпи на коже: обратиться за медицинской помощью. P337+P313 При продолжающемся раздражении глаз: обратиться за медицинской помощью. P342+P311 При симптомах со стороны дыхательных путей: обратиться в токсикологический центр/к врачу.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EUH204 Содержит изоцианаты. Может вызывать аллергическую реакцию.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Результаты оценки СБТ и оСБсБ: не применимо.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Описание: смесь перечисленных ниже веществ с неопасными добавками.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Опасные компоненты: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76"/>
        <w:gridCol w:w="2476"/>
        <w:gridCol w:w="2476"/>
        <w:gridCol w:w="2476"/>
      </w:tblGrid>
      <w:tr>
        <w:trPr>
          <w:tblHeader/>
        </w:trPr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CAS / Рег. №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Название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Конц.</w:t>
            </w:r>
          </w:p>
        </w:tc>
      </w:tr>
      <w:tr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CAS: 28182-81-2
Рег. №: 01-2119488934-20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1,6-гексаметилендиизоцианат гомополимер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Acute Tox. 4, H332; Skin Sens. 1, H317; STOT SE 3, H335, EUH204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75-100%</w:t>
            </w:r>
          </w:p>
        </w:tc>
      </w:tr>
    </w:tbl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формулировки указанных фраз опасности приведены в разделе 16.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сведения: симптомы отравления могут проявиться даже спустя несколько часов, поэтому необходимо медицинское наблюдение не менее 48 часов после происшествия.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вдыхании: обеспечить приток свежего воздуха; при жалобах обратиться к врачу. При потере сознания уложить пострадавшего в устойчивое боковое положение для транспортировки.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кожей: немедленно промыть водой с мылом и тщательно ополоснуть.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глазами: промывать открытый глаз в течение нескольких минут под проточной водой, затем обратиться к врачу.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проглатывании: не вызывать рвоту; немедленно вызвать врача.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острые и отсроченные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Аллергические реакции.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Подходящие средства: CO₂, порошок или распылённая вода. Крупные пожары тушить распылённой водой или пеной, устойчивой к спирту. Непригодные по соображениям безопасности: вода в виде компактной струи.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Средства защиты: респиратор для защиты органов дыхания.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защиты и порядок действий в чрезвычайной ситуации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Использовать средства защиты. Не допускать незащищённых лиц.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в канализацию, 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сорбенты,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См. раздел 7 (безопасное обращение), раздел 8 (СИЗ), раздел 13 (утилизация).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Избегать контакта с глазами и кожей. Держать вдали от пищевых продуктов, напитков и корма. Не принимать пищу и не пить во время работы. Лица, имеющие в анамнезе астму, аллергии, хронические или рецидивирующие заболевания дыхательных путей, не должны быть заняты в процессах, где используется данный продукт. Мыть руки перед перерывами и по окончании работы.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 противопожарной и взрывозащите: особые меры не требуются.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 с учётом несовместимости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 Совместное хранение: не требуется. Держать ёмкость плотно закрытой.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Конкретные конечные применения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не содержит значимых количеств материалов с критическими значениями, подлежащих контролю на рабочем месте.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защитные и гигиенические меры: избегать контакта с глазами и кожей. Носить подходящую защитную одежду, перчатки и средства защиты глаз/лица. Лица с астмой, аллергиями, хроническими заболеваниями дыхательных путей не должны быть заняты в процессах с данным продуктом. Мыть руки перед перерывами и по окончании работы.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Защита органов дыхания: не требуется. Обеспечить хорошую вентиляцию помещения при обработке.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Защита рук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Использовать перчатки из стабильного материала (например, нитрил), при необходимости трикотажные (EN 374). Материал: бутилкаучук, нитрильный каучук; рекомендуемая толщина ≥ 0,5 мм. Точное время прорыва устанавливает производитель перчаток.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Защита глаз/лица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Плотно прилегающие защитные очки (EN 166).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953"/>
        <w:gridCol w:w="4953"/>
      </w:tblGrid>
      <w:tr>
        <w:trPr>
          <w:tblHeader/>
        </w:trP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Параметр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Значение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Физическое состояние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Текучая жидкость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Цвет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Желтоватый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Запах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Слабый, характерный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Воспламеняемость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применимо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Температура вспышки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~200 °C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pH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определён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Динамическая вязкость при 20 °C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~960 мПа·с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Растворимость в воде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смешивается или трудно смешивается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Давление пара при 50 °C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0,0001 гПа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Плотность при 20 °C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1,15 г/см³</w:t>
            </w:r>
          </w:p>
        </w:tc>
      </w:tr>
    </w:tbl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Температура воспламенения: см. также паспорт безопасности компонента A. Взрывоопасные свойства: продукт не представляет взрывоопасности.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Все классы физической опасности — отсутствуют.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начиная примерно с 260 °C — полимеризация и выделение CO₂.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медленно реагирует с водой с выделением углекислого газа. В закрытых ёмкостях повышение давления может привести к деформации, вздутию, а в крайних случаях — к разрыву ёмкости.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 Условия, которых следует избегать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10.5 Несовместимые материалы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Держать вдали от окисляющих веществ, сильнощелочных и сильнокислотных материалов во избежание экзотермических реакций. Неконтролируемые экзотермические реакции происходят с аминами и спиртами. При хранении избегать попадания влаги.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10.6 Опасные продукты разложения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пожаре могут образовываться опасные продукты разложения: дым, оксид углерода, диоксид углерода, оксиды азота, цианистый водород, мономерные изоцианаты, амины и спирты.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 согласно Регламенту (ЕС) № 1272/2008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Острая токсичность: вредно при вдыхании.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953"/>
        <w:gridCol w:w="4953"/>
      </w:tblGrid>
      <w:tr>
        <w:trPr>
          <w:tblHeader/>
        </w:trP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Показатель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Значение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Оральная LD50 (крыса, OECD 423)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&gt;5000 мг/кг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Дермальная LD50 (крыса, OECD 402)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&gt;2000 мг/кг</w:t>
            </w:r>
          </w:p>
        </w:tc>
      </w:tr>
    </w:tbl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Раздражение кожи: возможно слабое раздражающее действие; критерии классификации не выполняются. Серьёзное повреждение глаз/раздражение: критерии не выполняются. Сенсибилизация дыхательных путей/кожи: может вызывать аллергическую реакцию кожи. Мутагенность зародышевых клеток, канцерогенность, репродуктивная токсичность: критерии не выполняются. Специфическая токсичность на органы-мишени (однократное воздействие): может вызывать раздражение дыхательных путей. Повторное воздействие, опасность при аспирации: критерии не выполняются.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токсикологическая информация: на основании свойств изоцианатных компонентов данный состав может вызывать острое раздражение и/или сенсибилизацию дыхательной системы, приводящую к астматическому состоянию, хрипам и стеснению в груди. У сенсибилизированных лиц возможны астматические симптомы при концентрациях ниже ПДК. Повторное воздействие может привести к постоянной дыхательной недостаточности.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12.1 Токсичность: дополнительная значимая информация отсутствует.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12.2–12.4 Стойкость и способность к деградации, биоаккумулятивный потенциал, мобильность в почве: дополнительная значимая информация отсутствует.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12.5 Результаты оценки СБТ и оСБсБ: не применимо.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12.6 Свойства эндокринных разрушителей: продукт не содержит веществ с эндокринно-разрушающими свойствами.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12.7 Прочие неблагоприятные эффекты: не допускать попадания продукта в грунтовые воды, водоёмы или канализацию.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продукта в канализацию. Утилизация — в соответствии с местным, региональным или национальным законодательством.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Неочищенная упаковка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Тщательно опорожнять загрязнённую упаковку. После тщательной и надлежащей очистки она может быть направлена на переработку.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14.1–14.4: номер ООН, наименование, класс опасности, группа упаковки (ADR, ADN, IMDG, IATA) — отсутствуют.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14.5 Опасность для окружающей среды: загрязнитель морской среды — нет.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14.6–14.7: не применимо.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техники безопасности, охраны здоровья и окружающей среды/законодательство для данного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Директива 2012/18/ЕС: поимённо указанные опасные вещества — Приложение I — ни один из компонентов не включён в перечень.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РЕГЛАМЕНТ (ЕС) № 1907/2006, Приложение XVII: условие ограничения 3.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основана на текущих знаниях. Однако она не является гарантией каких-либо конкретных свойств продукта и не устанавливает юридически обязывающих договорных отношений.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Данный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Релевантные фразы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H317 — Может вызывать аллергическую реакцию кожи. H332 — Вредно при вдыхании. H335 — Может вызывать раздражение дыхательных путей. EUH204 — Содержит изоцианаты. Может вызывать аллергическую реакцию.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Рекомендуемое ограничение использования: только для профессионального использования.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Классификация смеси в целом основана на расчётном методе с использованием данных о веществах согласно Регламенту (ЕС) № 1272/2008.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E-mail: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акронимы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RID, ICAO, ADR, IMDG, IATA, GHS, EINECS, ELINCS, CAS, LC50, LD50, СБТ, оСБсБ — см. стандартный глоссарий. Acute Tox. 4 — острая токсичность, категория 4. Skin Sens. 1 — сенсибилизация кожи, категория 1. STOT SE 3 — специфическая токсичность на органы-мишени (однократное воздействие), категория 3.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000" w:right="1000" w:bottom="10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2026-07-21T10:21:23.698Z</dcterms:created>
  <dcterms:modified xsi:type="dcterms:W3CDTF">2026-07-21T10:21:23.698Z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