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2"/>
          <w:szCs w:val="22"/>
        </w:rPr>
        <w:t xml:space="preserve">согласно 1907/2006/EC, Статья 31</w:t>
      </w:r>
    </w:p>
    <w:p>
      <w:pPr>
        <w:pBdr>
          <w:bottom w:val="single" w:color="000000" w:sz="8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MAGIC OIL 2K PURE Comp. A</w:t>
      </w:r>
    </w:p>
    <w:p>
      <w:pPr>
        <w:spacing w:after="200"/>
        <w:jc w:val="center"/>
      </w:pPr>
      <w:r>
        <w:rPr>
          <w:color w:val="444444"/>
          <w:sz w:val="18"/>
          <w:szCs w:val="18"/>
        </w:rPr>
        <w:t xml:space="preserve">Дата печати: 01.02.2024 · Версия № 2 · Пересмотр: 01.02.2024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Торговое название: MAGIC OIL 2K PURE Comp. A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виды использования вещества или смеси и виды использования, которые не рекомендуются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</w:pPr>
      <w:r>
        <w:rPr>
          <w:sz w:val="21"/>
          <w:szCs w:val="21"/>
        </w:rPr>
        <w:t xml:space="preserve">●  SU19 Строительные и строительно-монтажные работы</w:t>
      </w:r>
    </w:p>
    <w:p>
      <w:pPr>
        <w:spacing w:after="0"/>
      </w:pPr>
      <w:r>
        <w:rPr>
          <w:sz w:val="21"/>
          <w:szCs w:val="21"/>
        </w:rPr>
        <w:t xml:space="preserve">●  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Только для профессионального использования.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Категория продукта: PC31 Полироли и восковые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Применение вещества/смеси: 2-компонентное масло для деревянных полов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Сведения о поставщике паспорта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Производитель/поставщик: PALLMANN GmbH, Im Kreuz 6, D-97076 Würzburg. Тел.: +49 (0)931-27964-0. Факс: +49 (0)931-27964-50.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Дополнительную информацию можно получить: Products Development Lab, 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для экстренной связи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Медицинские экстренные случаи (GIZ-Nord): +49 551 19240. Транспортные аварийные ситуации: +49 621 60 43 333.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Классификация согласно Регламенту (ЕС) № 1272/2008: продукт не классифицируется как опасный согласно регламенту GB CLP.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также см. паспорт безопасности компонента B.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отсутствует. Пиктограммы опасности: отсутствуют. Сигнальное слово: отсутствует. Указания на опасность: отсутствуют.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(см. разделы 5, 6, 10, 13).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Результаты оценки СБТ и оСБсБ: не применимо.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Описание: 2-компонентное масло для деревянных полов.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Опасные компоненты: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76"/>
        <w:gridCol w:w="2476"/>
        <w:gridCol w:w="2476"/>
        <w:gridCol w:w="2476"/>
      </w:tblGrid>
      <w:tr>
        <w:trPr>
          <w:tblHeader/>
        </w:trP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CAS / Рег. №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Название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Конц.</w:t>
            </w:r>
          </w:p>
        </w:tc>
      </w:tr>
      <w:tr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CAS: 27253-29-8
Рег. №: 01-2119978981-18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Неодеканоат цинка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Aquatic Chronic 3, H412</w:t>
            </w:r>
          </w:p>
        </w:tc>
        <w:tc>
          <w:tcPr>
            <w:tcW w:type="dxa" w:w="2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1-&lt;3%</w:t>
            </w:r>
          </w:p>
        </w:tc>
      </w:tr>
    </w:tbl>
    <w:p>
      <w:pPr>
        <w:pBdr>
          <w:left w:val="single" w:color="1F3864" w:sz="18" w:space="8"/>
        </w:pBdr>
        <w:spacing w:after="100" w:before="100"/>
        <w:ind w:left="100"/>
      </w:pPr>
      <w:r>
        <w:rPr>
          <w:i/>
          <w:iCs/>
          <w:sz w:val="20"/>
          <w:szCs w:val="20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сведения: особые меры не требуются.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вдыхании: при потере сознания уложить пострадавшего в устойчивое боковое положение для транспортировки.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кожей: немедленно промыть водой с мылом и тщательно ополоснуть.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контакте с глазами: промывать открытый глаз в течение нескольких минут под проточной водой, затем обратиться к врачу.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При проглатывании: не вызывать рвоту; немедленно вызвать врача.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острые и отсроченные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Также см. паспорт безопасности компонента B.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Подходящие средства: CO₂, порошок или распылённая вода. Крупные пожары тушить распылённой водой или пеной, устойчивой к спирту. Непригодные по соображениям безопасности: вода в виде компактной струи.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Средства защиты: респиратор для защиты органов дыхания. 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хранить или утилизировать в плотно закрытых ёмкостях.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защиты и порядок действий в чрезвычайной ситуации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средства защиты. Не допускать незащищённых лиц.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хранить или утилизировать в плотно закрытых ёмкостях. См. раздел 7 (безопасное обращение), раздел 8 (СИЗ), раздел 13 (утилизация).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Немедленно снимать всю загрязнённую одежду. Избегать контакта с глазами и кожей. Держать вдали от пищевых продуктов, напитков и корма. Мыть руки перед перерывами и по окончании работы.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 противопожарной и взрывозащите: особые меры не требуются.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 с учётом несовместимости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 Совместное хранение: не требуется. Держать ёмкость плотно закрытой.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Конкретные конечные применения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Продукт не содержит значимых количеств материалов с критическими значениями, подлежащих контролю на рабочем месте.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Общие защитные и гигиенические меры: соблюдать обычные меры предосторожности при работе с химикатами. Избегать контакта с глазами и кожей. Носить подходящую защитную одежду, перчатки и средства защиты глаз/лица. Держать вдали от пищевых продуктов, напитков и корма. Мыть руки перед перерывами и по окончании работы. Также см. паспорт безопасности компонента B.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Защита органов дыхания: не требуется. Обеспечить хорошую вентиляцию помещения при обработке.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рук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Использовать перчатки из стабильного материала (например, нитрил), при необходимости трикотажные (EN 374). Материал: бутилкаучук, нитрильный каучук; рекомендуемая толщина ≥ 0,5 мм. Точное время прорыва устанавливает производитель перчаток.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Защита глаз/лица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Плотно прилегающие защитные очки (EN 166).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953"/>
        <w:gridCol w:w="4953"/>
      </w:tblGrid>
      <w:tr>
        <w:trPr>
          <w:tblHeader/>
        </w:trP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Параметр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b/>
                <w:bCs/>
                <w:sz w:val="19"/>
                <w:szCs w:val="19"/>
              </w:rPr>
              <w:t xml:space="preserve">Значение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Физическое состояние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Текучая жидкость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Цвет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Различный в зависимости от колеровки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Запах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Слабый, характерный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Воспламеняемость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применимо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Температура вспышки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&gt;100 °C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pH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определён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Растворимость в воде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Плотность при 20 °C</w:t>
            </w:r>
          </w:p>
        </w:tc>
        <w:tc>
          <w:tcPr>
            <w:tcW w:type="dxa" w:w="495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80"/>
              <w:bottom w:type="dxa" w:w="60"/>
              <w:right w:type="dxa" w:w="80"/>
            </w:tcMar>
          </w:tcPr>
          <w:p>
            <w:r>
              <w:rPr>
                <w:sz w:val="19"/>
                <w:szCs w:val="19"/>
              </w:rPr>
              <w:t xml:space="preserve">~1,2 г/см³</w:t>
            </w:r>
          </w:p>
        </w:tc>
      </w:tr>
    </w:tbl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Температура воспламенения: соблюдать опасность самовозгорания при контакте продукта с тампонами, текстильными материалами или полировальной пылью (см. разделы 5, 6, 7, 10, 13). Взрывоопасные свойства: продукт не представляет взрывоопасности.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Все классы физической опасности — отсутствуют.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утилизировать в плотно закрытых ёмкостях.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10.4–10.6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Условия, которых следует избегать, и несовместимые материалы: дополнительная значимая информация отсутствует. Опасные продукты разложения не известны. Также см. паспорт безопасности компонента B.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 согласно Регламенту (ЕС) № 1272/2008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Острая токсичность, коррозия/раздражение кожи, серьёзное повреждение глаз/раздражение, сенсибилизация дыхательных путей/кожи, мутагенность зародышевых клеток, канцерогенность, репродуктивная токсичность, специфическая токсичность на органы-мишени (однократное и повторное воздействие), опасность при аспирации: на основании имеющихся данных критерии классификации не выполняются.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токсикологическая информация: также см. паспорт безопасности компонента B.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12.1 Токсичность: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12.2–12.4 Стойкость и способность к деградации, биоаккумулятивный потенциал, мобильность в почве: дополнительная значимая информация отсутствует.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12.5 Результаты оценки СБТ и оСБсБ: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12.6 Свойства эндокринных разрушителей: продукт не содержит веществ с эндокринно-разрушающими свойствами.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12.7 Прочие неблагоприятные эффекты: 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Не допускать попадания продукта в канализацию. Опасность самовозгорания при контакте продукта с тампонами, текстильными материалами или полировальной пылью! Тщательно смочить водой ветошь, тампоны и т.п. и утилизировать в плотно закрытых ёмкостях. Утилизация — в соответствии с местным, региональным или национальным законодательством.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Неочищенная упаковка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Тщательно опорожнять загрязнённую упаковку. После тщательной и надлежащей очистки она может быть направлена на переработку.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14.1–14.4: номер ООН, наименование, класс опасности, группа упаковки (ADR, ADN, IMDG, IATA) — отсутствуют.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14.5 Опасность для окружающей среды: загрязнитель морской среды — нет.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14.6–14.7: особые меры предосторожности, морская перевозка навалом — не применимо.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Дополнительная информация: не является опасным согласно вышеуказанным характеристикам. «Модельные правила» ООН: отсутствует.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техники безопасности, охраны здоровья и окружающей среды/законодательство для данного вещества или смеси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Закон о ядах: регулируемые и подлежащие декларированию прекурсоры взрывчатых веществ и яды — ни один из компонентов не включён в перечень.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Директива 2012/18/ЕС: поимённо указанные опасные вещества — Приложение I —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9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Информация основана на текущих знаниях. Однако она не является гарантией каких-либо конкретных свойств продукта и не устанавливает юридически обязывающих договорных отношений.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Данный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Релевантные фразы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H412 — Вредно для водных организмов с долгосрочными последствиями.</w:t>
      </w:r>
    </w:p>
    <w:p>
      <w:pPr>
        <w:pBdr>
          <w:left w:val="single" w:color="1F3864" w:sz="18" w:space="8"/>
        </w:pBdr>
        <w:spacing w:after="100" w:before="100"/>
        <w:ind w:left="100"/>
      </w:pPr>
      <w:r>
        <w:rPr>
          <w:i/>
          <w:iCs/>
          <w:sz w:val="20"/>
          <w:szCs w:val="20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Рекомендуемое ограничение использования: только для профессионального использования.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E-mail: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акронимы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RID, ICAO, ADR, IMDG, IATA, GHS, EINECS, ELINCS, CAS — см. стандартный глоссарий. СБТ — стойкое, биоаккумулятивное и токсичное вещество. оСБсБ — очень стойкое и очень биоаккумулятивное вещество. Aquatic Chronic 3 — опасность для водной среды, хроническая, категория 3.</w:t>
      </w:r>
    </w:p>
    <w:p>
      <w:pPr>
        <w:spacing w:after="60"/>
      </w:pPr>
      <w:r>
        <w:rPr>
          <w:b w:val="false"/>
          <w:bCs w:val="false"/>
          <w:i w:val="false"/>
          <w:iCs w:val="false"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2026-07-21T10:21:16.031Z</dcterms:created>
  <dcterms:modified xsi:type="dcterms:W3CDTF">2026-07-21T10:21:16.031Z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