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  <w:sz w:val="22"/>
          <w:szCs w:val="22"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PALL-X ZERO 2K Комп. B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1.1 Идентификатор продукта</w:t>
      </w:r>
    </w:p>
    <w:p>
      <w:pPr>
        <w:spacing w:after="80"/>
      </w:pPr>
      <w:r>
        <w:rPr>
          <w:b/>
          <w:bCs/>
        </w:rPr>
        <w:t xml:space="preserve">Торговое название: </w:t>
      </w:r>
      <w:r>
        <w:t xml:space="preserve">PALL-X ZERO 2K Комп. B</w:t>
      </w:r>
    </w:p>
    <w:p>
      <w:pPr>
        <w:spacing w:after="80"/>
      </w:pPr>
      <w:r>
        <w:rPr>
          <w:b/>
          <w:bCs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 </w:t>
      </w: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Сектор использования</w:t>
      </w:r>
    </w:p>
    <w:p>
      <w:pPr>
        <w:spacing w:after="80"/>
      </w:pPr>
      <w:r>
        <w:t xml:space="preserve">SU19 Строительные работы</w:t>
      </w:r>
    </w:p>
    <w:p>
      <w:pPr>
        <w:spacing w:after="80"/>
      </w:pPr>
      <w:r>
        <w:t xml:space="preserve">SU22 Профессиональное использование: общественная сфера (администрирование, образование, развлечения, услуги, ремесленники)</w:t>
      </w:r>
    </w:p>
    <w:p>
      <w:pPr>
        <w:spacing w:after="80"/>
      </w:pPr>
      <w:r>
        <w:t xml:space="preserve">Только для профессионального использования.</w:t>
      </w:r>
    </w:p>
    <w:p>
      <w:pPr>
        <w:spacing w:after="80"/>
      </w:pPr>
      <w:r>
        <w:rPr>
          <w:b/>
          <w:bCs/>
        </w:rPr>
        <w:t xml:space="preserve">Категория продукта </w:t>
      </w:r>
      <w:r>
        <w:t xml:space="preserve">PC9a Покрытия и краски, разбавители, средства для снятия краски</w:t>
      </w:r>
    </w:p>
    <w:p>
      <w:pPr>
        <w:spacing w:after="80"/>
      </w:pPr>
      <w:r>
        <w:rPr>
          <w:b/>
          <w:bCs/>
        </w:rPr>
        <w:t xml:space="preserve">Применение вещества/смеси </w:t>
      </w:r>
      <w:r>
        <w:t xml:space="preserve">Герметик на водной основе, двухкомпонентный</w:t>
      </w:r>
    </w:p>
    <w:p>
      <w:pPr>
        <w:spacing w:after="60" w:before="120"/>
      </w:pPr>
      <w:r>
        <w:rPr>
          <w:b/>
          <w:bCs/>
        </w:rPr>
        <w:t xml:space="preserve">1.3 Данные поставщика паспорта безопасности</w:t>
      </w:r>
    </w:p>
    <w:p>
      <w:pPr>
        <w:spacing w:after="80"/>
      </w:pPr>
      <w:r>
        <w:rPr>
          <w:b/>
          <w:bCs/>
        </w:rPr>
        <w:t xml:space="preserve">Производитель/Поставщик: </w:t>
      </w:r>
      <w:r>
        <w:t xml:space="preserve"/>
      </w:r>
    </w:p>
    <w:p>
      <w:pPr>
        <w:spacing w:after="80"/>
      </w:pPr>
      <w:r>
        <w:t xml:space="preserve">PALLMANN GmbH</w:t>
      </w:r>
    </w:p>
    <w:p>
      <w:pPr>
        <w:spacing w:after="80"/>
      </w:pPr>
      <w:r>
        <w:t xml:space="preserve">Im Kreuz 6</w:t>
      </w:r>
    </w:p>
    <w:p>
      <w:pPr>
        <w:spacing w:after="80"/>
      </w:pPr>
      <w:r>
        <w:t xml:space="preserve">D-97076 Würzburg</w:t>
      </w:r>
    </w:p>
    <w:p>
      <w:pPr>
        <w:spacing w:after="80"/>
      </w:pPr>
      <w:r>
        <w:t xml:space="preserve">Тел.: +49 (0)931-27964-0</w:t>
      </w:r>
    </w:p>
    <w:p>
      <w:pPr>
        <w:spacing w:after="80"/>
      </w:pPr>
      <w:r>
        <w:t xml:space="preserve">Факс: +49 (0)931-27964-50</w:t>
      </w:r>
    </w:p>
    <w:p>
      <w:pPr>
        <w:spacing w:after="80"/>
      </w:pPr>
      <w:r>
        <w:rPr>
          <w:b/>
          <w:bCs/>
        </w:rPr>
        <w:t xml:space="preserve">Дополнительную информацию можно получить: </w:t>
      </w:r>
      <w:r>
        <w:t xml:space="preserve"/>
      </w:r>
    </w:p>
    <w:p>
      <w:pPr>
        <w:spacing w:after="80"/>
      </w:pPr>
      <w:r>
        <w:t xml:space="preserve">Products Development Lab</w:t>
      </w:r>
    </w:p>
    <w:p>
      <w:pPr>
        <w:spacing w:after="80"/>
      </w:pPr>
      <w:r>
        <w:t xml:space="preserve">E-Mail: msds.info@uzin-utz.com</w:t>
      </w:r>
    </w:p>
    <w:p>
      <w:pPr>
        <w:spacing w:after="60" w:before="120"/>
      </w:pPr>
      <w:r>
        <w:rPr>
          <w:b/>
          <w:bCs/>
        </w:rPr>
        <w:t xml:space="preserve">1.4 Телефон экстренной связи:</w:t>
      </w:r>
    </w:p>
    <w:p>
      <w:pPr>
        <w:spacing w:after="80"/>
      </w:pPr>
      <w:r>
        <w:t xml:space="preserve">Медицинские экстренные случаи (GIZ-Nord Poisons Center): +49 551 19240</w:t>
      </w:r>
    </w:p>
    <w:p>
      <w:pPr>
        <w:spacing w:after="80"/>
      </w:pPr>
      <w:r>
        <w:t xml:space="preserve">Транспортные экстренные случаи: +49 621 60 43 333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2.1 Классификация вещества или смеси</w:t>
      </w:r>
    </w:p>
    <w:p>
      <w:pPr>
        <w:spacing w:after="80"/>
      </w:pPr>
      <w:r>
        <w:rPr>
          <w:b/>
          <w:bCs/>
        </w:rPr>
        <w:t xml:space="preserve">Классификация согласно Регламенту (ЕС) № 1272/2008 </w:t>
      </w:r>
      <w:r>
        <w:t xml:space="preserve"/>
      </w:r>
    </w:p>
    <w:p>
      <w:pPr>
        <w:spacing w:after="80"/>
      </w:pPr>
      <w:r>
        <w:t xml:space="preserve">Пиктограмма опасности: GHS07</w:t>
      </w:r>
    </w:p>
    <w:p>
      <w:pPr>
        <w:spacing w:after="80"/>
      </w:pPr>
      <w:r>
        <w:t xml:space="preserve">Acute Tox. 4 — H332 Вредно при вдыхании.</w:t>
      </w:r>
    </w:p>
    <w:p>
      <w:pPr>
        <w:spacing w:after="80"/>
      </w:pPr>
      <w:r>
        <w:t xml:space="preserve">Skin Sens. 1 — H317 Может вызывать аллергическую кожную реакцию.</w:t>
      </w:r>
    </w:p>
    <w:p>
      <w:pPr>
        <w:spacing w:after="80"/>
      </w:pPr>
      <w:r>
        <w:t xml:space="preserve">STOT SE 3 — H335 Может вызывать раздражение дыхательных путей.</w:t>
      </w:r>
    </w:p>
    <w:p>
      <w:pPr>
        <w:spacing w:after="80"/>
      </w:pPr>
      <w:r>
        <w:t xml:space="preserve">Aquatic Chronic 3 — H412 Вредно для водных организмов с долгосрочными последствиями.</w:t>
      </w:r>
    </w:p>
    <w:p>
      <w:pPr>
        <w:spacing w:after="60" w:before="120"/>
      </w:pPr>
      <w:r>
        <w:rPr>
          <w:b/>
          <w:bCs/>
        </w:rPr>
        <w:t xml:space="preserve">2.2 Элементы маркировки</w:t>
      </w:r>
    </w:p>
    <w:p>
      <w:pPr>
        <w:spacing w:after="80"/>
      </w:pPr>
      <w:r>
        <w:t xml:space="preserve">Маркировка согласно Регламенту (ЕС) № 1272/2008: продукт классифицирован и маркирован согласно регламенту GB CLP (Великобритания).</w:t>
      </w:r>
    </w:p>
    <w:p>
      <w:pPr>
        <w:spacing w:after="80"/>
      </w:pPr>
      <w:r>
        <w:rPr>
          <w:b/>
          <w:bCs/>
        </w:rPr>
        <w:t xml:space="preserve">Пиктограммы опасности: </w:t>
      </w:r>
      <w:r>
        <w:t xml:space="preserve">GHS07</w:t>
      </w:r>
    </w:p>
    <w:p>
      <w:pPr>
        <w:spacing w:after="80"/>
      </w:pPr>
      <w:r>
        <w:rPr>
          <w:b/>
          <w:bCs/>
        </w:rPr>
        <w:t xml:space="preserve">Сигнальное слово: </w:t>
      </w:r>
      <w:r>
        <w:t xml:space="preserve">Внимание (Warning)</w:t>
      </w:r>
    </w:p>
    <w:p>
      <w:pPr>
        <w:spacing w:after="60" w:before="120"/>
      </w:pPr>
      <w:r>
        <w:rPr>
          <w:b/>
          <w:bCs/>
        </w:rPr>
        <w:t xml:space="preserve">Компоненты маркировки, определяющие опасность:</w:t>
      </w:r>
    </w:p>
    <w:p>
      <w:pPr>
        <w:spacing w:after="80"/>
      </w:pPr>
      <w:r>
        <w:t xml:space="preserve">Алифатический полиизоцианат</w:t>
      </w:r>
    </w:p>
    <w:p>
      <w:pPr>
        <w:spacing w:after="60" w:before="120"/>
      </w:pPr>
      <w:r>
        <w:rPr>
          <w:b/>
          <w:bCs/>
        </w:rPr>
        <w:t xml:space="preserve">Указания на опасность:</w:t>
      </w:r>
    </w:p>
    <w:p>
      <w:pPr>
        <w:spacing w:after="80"/>
      </w:pPr>
      <w:r>
        <w:t xml:space="preserve">H332 Вредно при вдыхании.</w:t>
      </w:r>
    </w:p>
    <w:p>
      <w:pPr>
        <w:spacing w:after="80"/>
      </w:pPr>
      <w:r>
        <w:t xml:space="preserve">H317 Может вызывать аллергическую кожную реакцию.</w:t>
      </w:r>
    </w:p>
    <w:p>
      <w:pPr>
        <w:spacing w:after="80"/>
      </w:pPr>
      <w:r>
        <w:t xml:space="preserve">H335 Может вызывать раздражение дыхательных путей.</w:t>
      </w:r>
    </w:p>
    <w:p>
      <w:pPr>
        <w:spacing w:after="80"/>
      </w:pPr>
      <w:r>
        <w:t xml:space="preserve">H412 Вредно для водных организмов с долгосрочными последствиями.</w:t>
      </w:r>
    </w:p>
    <w:p>
      <w:pPr>
        <w:spacing w:after="60" w:before="120"/>
      </w:pPr>
      <w:r>
        <w:rPr>
          <w:b/>
          <w:bCs/>
        </w:rPr>
        <w:t xml:space="preserve">Меры предосторожности:</w:t>
      </w:r>
    </w:p>
    <w:p>
      <w:pPr>
        <w:spacing w:after="80"/>
      </w:pPr>
      <w:r>
        <w:t xml:space="preserve">P102 Хранить в недоступном для детей месте.</w:t>
      </w:r>
    </w:p>
    <w:p>
      <w:pPr>
        <w:spacing w:after="80"/>
      </w:pPr>
      <w:r>
        <w:t xml:space="preserve">P273 Избегать попадания в окружающую среду.</w:t>
      </w:r>
    </w:p>
    <w:p>
      <w:pPr>
        <w:spacing w:after="80"/>
      </w:pPr>
      <w:r>
        <w:t xml:space="preserve">P280 Использовать защитные перчатки/средства защиты глаз.</w:t>
      </w:r>
    </w:p>
    <w:p>
      <w:pPr>
        <w:spacing w:after="80"/>
      </w:pPr>
      <w:r>
        <w:t xml:space="preserve">P302+P352 ПРИ ПОПАДАНИИ НА КОЖУ: промыть большим количеством воды с мылом.</w:t>
      </w:r>
    </w:p>
    <w:p>
      <w:pPr>
        <w:spacing w:after="80"/>
      </w:pPr>
      <w:r>
        <w:t xml:space="preserve">P304+P340 ПРИ ВДЫХАНИИ: вывести пострадавшего на свежий воздух и обеспечить ему покой в удобном для дыхания положении.</w:t>
      </w:r>
    </w:p>
    <w:p>
      <w:pPr>
        <w:spacing w:after="80"/>
      </w:pPr>
      <w:r>
        <w:t xml:space="preserve">P362+P364 Снять загрязнённую одежду и постирать её перед повторным использованием.</w:t>
      </w:r>
    </w:p>
    <w:p>
      <w:pPr>
        <w:spacing w:after="80"/>
      </w:pPr>
      <w:r>
        <w:t xml:space="preserve">P333+P313 При раздражении или появлении сыпи на коже: обратиться за медицинской помощью.</w:t>
      </w:r>
    </w:p>
    <w:p>
      <w:pPr>
        <w:spacing w:after="80"/>
      </w:pPr>
      <w:r>
        <w:t xml:space="preserve">P321 Специальное лечение (см. на этой этикетке).</w:t>
      </w:r>
    </w:p>
    <w:p>
      <w:pPr>
        <w:spacing w:after="80"/>
      </w:pPr>
      <w:r>
        <w:t xml:space="preserve">P342+P311 При появлении симптомов затруднения дыхания: обратиться в токсикологический центр/к врачу.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информация:</w:t>
      </w:r>
    </w:p>
    <w:p>
      <w:pPr>
        <w:spacing w:after="80"/>
      </w:pPr>
      <w:r>
        <w:t xml:space="preserve">EUH204 Содержит изоцианаты. Может вызывать аллергическую реакцию.</w:t>
      </w:r>
    </w:p>
    <w:p>
      <w:pPr>
        <w:spacing w:after="60" w:before="120"/>
      </w:pPr>
      <w:r>
        <w:rPr>
          <w:b/>
          <w:bCs/>
        </w:rPr>
        <w:t xml:space="preserve">2.3 Прочие опасности</w:t>
      </w:r>
    </w:p>
    <w:p>
      <w:pPr>
        <w:spacing w:after="60" w:before="120"/>
      </w:pPr>
      <w:r>
        <w:rPr>
          <w:b/>
          <w:bCs/>
        </w:rPr>
        <w:t xml:space="preserve">Результаты оценки СБТ и оСБсБ</w:t>
      </w:r>
    </w:p>
    <w:p>
      <w:pPr>
        <w:spacing w:after="80"/>
      </w:pPr>
      <w:r>
        <w:rPr>
          <w:b/>
          <w:bCs/>
        </w:rPr>
        <w:t xml:space="preserve">СБТ: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оСБсБ: </w:t>
      </w:r>
      <w:r>
        <w:t xml:space="preserve">Не применимо.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3.2 Смеси</w:t>
      </w:r>
    </w:p>
    <w:p>
      <w:pPr>
        <w:spacing w:after="80"/>
      </w:pPr>
      <w:r>
        <w:rPr>
          <w:b/>
          <w:bCs/>
        </w:rPr>
        <w:t xml:space="preserve">Описание: </w:t>
      </w:r>
      <w:r>
        <w:t xml:space="preserve">Смесь перечисленных ниже веществ с неопасными добавками.</w:t>
      </w:r>
    </w:p>
    <w:p>
      <w:pPr>
        <w:spacing w:after="60" w:before="60"/>
      </w:pPr>
    </w:p>
    <w:p>
      <w:pPr>
        <w:spacing w:after="60" w:before="120"/>
      </w:pPr>
      <w:r>
        <w:rPr>
          <w:b/>
          <w:bCs/>
        </w:rPr>
        <w:t xml:space="preserve">Опасные компоненты:</w:t>
      </w:r>
    </w:p>
    <w:tbl>
      <w:tblPr>
        <w:tblW w:type="dxa" w:w="963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100"/>
        <w:gridCol w:w="5300"/>
        <w:gridCol w:w="2239"/>
      </w:tblGrid>
      <w:tr>
        <w:trPr>
          <w:tblHeader/>
        </w:trPr>
        <w:tc>
          <w:tcPr>
            <w:tcW w:type="dxa" w:w="21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Идентификатор</w:t>
            </w:r>
          </w:p>
        </w:tc>
        <w:tc>
          <w:tcPr>
            <w:tcW w:type="dxa" w:w="5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Наименование / классификация</w:t>
            </w:r>
          </w:p>
        </w:tc>
        <w:tc>
          <w:tcPr>
            <w:tcW w:type="dxa" w:w="22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Концентрация</w:t>
            </w:r>
          </w:p>
        </w:tc>
      </w:tr>
      <w:tr>
        <w:tc>
          <w:tcPr>
            <w:tcW w:type="dxa" w:w="21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666723-27-9</w:t>
            </w:r>
          </w:p>
        </w:tc>
        <w:tc>
          <w:tcPr>
            <w:tcW w:type="dxa" w:w="5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Алифатический полиизоцианат
Acute Tox. 4, H332; Skin Sens. 1, H317; STOT SE 3, H335; Aquatic Chronic 3, H412, EUH204</w:t>
            </w:r>
          </w:p>
        </w:tc>
        <w:tc>
          <w:tcPr>
            <w:tcW w:type="dxa" w:w="22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75-100%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Дополнительная информация: </w:t>
      </w:r>
      <w:r>
        <w:t xml:space="preserve">Формулировки перечисленных указаний на опасность приведены в разделе 16.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4.1 Описание мер первой помощи</w:t>
      </w:r>
    </w:p>
    <w:p>
      <w:pPr>
        <w:spacing w:after="60" w:before="120"/>
      </w:pPr>
      <w:r>
        <w:rPr>
          <w:b/>
          <w:bCs/>
        </w:rPr>
        <w:t xml:space="preserve">Общая информация:</w:t>
      </w:r>
    </w:p>
    <w:p>
      <w:pPr>
        <w:spacing w:after="80"/>
      </w:pPr>
      <w:r>
        <w:t xml:space="preserve">Симптомы отравления могут проявиться даже спустя несколько часов; поэтому необходимо медицинское наблюдение в течение как минимум 48 часов после происшествия.</w:t>
      </w:r>
    </w:p>
    <w:p>
      <w:pPr>
        <w:spacing w:after="60" w:before="120"/>
      </w:pPr>
      <w:r>
        <w:rPr>
          <w:b/>
          <w:bCs/>
        </w:rPr>
        <w:t xml:space="preserve">При вдыхании:</w:t>
      </w:r>
    </w:p>
    <w:p>
      <w:pPr>
        <w:spacing w:after="80"/>
      </w:pPr>
      <w:r>
        <w:t xml:space="preserve">Обеспечить приток свежего воздуха; при жалобах обратиться к врачу.</w:t>
      </w:r>
    </w:p>
    <w:p>
      <w:pPr>
        <w:spacing w:after="80"/>
      </w:pPr>
      <w:r>
        <w:t xml:space="preserve">В случае потери сознания уложить пострадавшего в устойчивое боковое положение для транспортировки.</w:t>
      </w:r>
    </w:p>
    <w:p>
      <w:pPr>
        <w:spacing w:after="80"/>
      </w:pPr>
      <w:r>
        <w:rPr>
          <w:b/>
          <w:bCs/>
        </w:rPr>
        <w:t xml:space="preserve">При контакте с кожей: </w:t>
      </w:r>
      <w:r>
        <w:t xml:space="preserve">Немедленно промыть водой с мылом и тщательно ополоснуть.</w:t>
      </w:r>
    </w:p>
    <w:p>
      <w:pPr>
        <w:spacing w:after="80"/>
      </w:pPr>
      <w:r>
        <w:rPr>
          <w:b/>
          <w:bCs/>
        </w:rPr>
        <w:t xml:space="preserve">При контакте с глазами: </w:t>
      </w:r>
      <w:r>
        <w:t xml:space="preserve">Промывать открытый глаз в течение нескольких минут под проточной водой. Затем обратиться к врачу.</w:t>
      </w:r>
    </w:p>
    <w:p>
      <w:pPr>
        <w:spacing w:after="80"/>
      </w:pPr>
      <w:r>
        <w:rPr>
          <w:b/>
          <w:bCs/>
        </w:rPr>
        <w:t xml:space="preserve">При проглатывании: </w:t>
      </w:r>
      <w:r>
        <w:t xml:space="preserve">Не вызывать рвоту; немедленно обратиться за медицинской помощью.</w:t>
      </w:r>
    </w:p>
    <w:p>
      <w:pPr>
        <w:spacing w:after="80"/>
      </w:pPr>
      <w:r>
        <w:rPr>
          <w:b/>
          <w:bCs/>
        </w:rPr>
        <w:t xml:space="preserve">4.2 Наиболее важные симптомы и эффекты, острые и отсроченные </w:t>
      </w:r>
      <w:r>
        <w:t xml:space="preserve">Аллергические реакции</w:t>
      </w:r>
    </w:p>
    <w:p>
      <w:pPr>
        <w:spacing w:after="80"/>
      </w:pPr>
      <w:r>
        <w:rPr>
          <w:b/>
          <w:bCs/>
        </w:rPr>
        <w:t xml:space="preserve">4.3 Указание на необходимость немедленной медицинской помощи и специального лечения </w:t>
      </w:r>
      <w:r>
        <w:t xml:space="preserve">Дополнительная значимая информация отсутствует.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5.1 Средства пожаротушения</w:t>
      </w:r>
    </w:p>
    <w:p>
      <w:pPr>
        <w:spacing w:after="80"/>
      </w:pPr>
      <w:r>
        <w:rPr>
          <w:b/>
          <w:bCs/>
        </w:rPr>
        <w:t xml:space="preserve">Подходящие средства пожаротушения: </w:t>
      </w:r>
      <w:r>
        <w:t xml:space="preserve">CO₂, порошок или водяной распылитель. При крупных пожарах использовать водяной распылитель или пену, стойкую к спирту.</w:t>
      </w:r>
    </w:p>
    <w:p>
      <w:pPr>
        <w:spacing w:after="80"/>
      </w:pPr>
      <w:r>
        <w:rPr>
          <w:b/>
          <w:bCs/>
        </w:rPr>
        <w:t xml:space="preserve">Непригодные по соображениям безопасности средства пожаротушения: </w:t>
      </w:r>
      <w:r>
        <w:t xml:space="preserve">Вода в сплошной струе</w:t>
      </w:r>
    </w:p>
    <w:p>
      <w:pPr>
        <w:spacing w:after="80"/>
      </w:pPr>
      <w:r>
        <w:rPr>
          <w:b/>
          <w:bCs/>
        </w:rPr>
        <w:t xml:space="preserve">5.2 Особые опасности, возникающие в связи с веществом или смесью </w:t>
      </w: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5.3 Рекомендации для пожарных</w:t>
      </w:r>
    </w:p>
    <w:p>
      <w:pPr>
        <w:spacing w:after="80"/>
      </w:pPr>
      <w:r>
        <w:rPr>
          <w:b/>
          <w:bCs/>
        </w:rPr>
        <w:t xml:space="preserve">Средства защиты: </w:t>
      </w:r>
      <w:r>
        <w:t xml:space="preserve">Средство защиты органов дыхания.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80"/>
      </w:pPr>
      <w:r>
        <w:t xml:space="preserve">Использовать средства индивидуальной защиты. Не допускать посторонних лиц.</w:t>
      </w:r>
    </w:p>
    <w:p>
      <w:pPr>
        <w:spacing w:after="80"/>
      </w:pPr>
      <w:r>
        <w:rPr>
          <w:b/>
          <w:bCs/>
        </w:rPr>
        <w:t xml:space="preserve">6.2 Меры предосторожности в отношении окружающей среды: </w:t>
      </w:r>
      <w: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</w:rPr>
        <w:t xml:space="preserve">6.3 Методы и материалы для локализации и очистки</w:t>
      </w:r>
    </w:p>
    <w:p>
      <w:pPr>
        <w:spacing w:after="80"/>
      </w:pPr>
      <w:r>
        <w:t xml:space="preserve">Впитывать жидкость связывающим материалом (песок, диатомит, кислотосвязывающие вещества, универсальные связующие материалы, опилки).</w:t>
      </w:r>
    </w:p>
    <w:p>
      <w:pPr>
        <w:spacing w:after="60" w:before="120"/>
      </w:pPr>
      <w:r>
        <w:rPr>
          <w:b/>
          <w:bCs/>
        </w:rPr>
        <w:t xml:space="preserve">6.4 Ссылка на другие разделы</w:t>
      </w:r>
    </w:p>
    <w:p>
      <w:pPr>
        <w:spacing w:after="80"/>
      </w:pPr>
      <w:r>
        <w:t xml:space="preserve">См. раздел 7 для информации по безопасному обращению.</w:t>
      </w:r>
    </w:p>
    <w:p>
      <w:pPr>
        <w:spacing w:after="80"/>
      </w:pPr>
      <w:r>
        <w:t xml:space="preserve">См. раздел 8 для информации о средствах индивидуальной защиты.</w:t>
      </w:r>
    </w:p>
    <w:p>
      <w:pPr>
        <w:spacing w:after="80"/>
      </w:pPr>
      <w:r>
        <w:t xml:space="preserve">См. раздел 13 для информации по утилизации.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7.1 Меры предосторожности для безопасного обращения</w:t>
      </w:r>
    </w:p>
    <w:p>
      <w:pPr>
        <w:spacing w:after="80"/>
      </w:pPr>
      <w:r>
        <w:t xml:space="preserve">Избегать контакта с глазами и кожей.</w:t>
      </w:r>
    </w:p>
    <w:p>
      <w:pPr>
        <w:spacing w:after="80"/>
      </w:pPr>
      <w:r>
        <w:t xml:space="preserve">Не допускать контакта с пищевыми продуктами, напитками и кормами.</w:t>
      </w:r>
    </w:p>
    <w:p>
      <w:pPr>
        <w:spacing w:after="80"/>
      </w:pPr>
      <w:r>
        <w:t xml:space="preserve">Лица, страдающие астмой, аллергией, хроническими или рецидивирующими заболеваниями дыхательных путей, не должны допускаться к работе с данным продуктом.</w:t>
      </w:r>
    </w:p>
    <w:p>
      <w:pPr>
        <w:spacing w:after="80"/>
      </w:pPr>
      <w:r>
        <w:t xml:space="preserve">Мыть руки перед перерывами и по окончании работы.</w:t>
      </w:r>
    </w:p>
    <w:p>
      <w:pPr>
        <w:spacing w:after="80"/>
      </w:pPr>
      <w:r>
        <w:rPr>
          <w:b/>
          <w:bCs/>
        </w:rPr>
        <w:t xml:space="preserve">Информация о пожаро- и взрывозащите: </w:t>
      </w:r>
      <w:r>
        <w:t xml:space="preserve">Особые меры не требуются.</w:t>
      </w:r>
    </w:p>
    <w:p>
      <w:pPr>
        <w:spacing w:after="60" w:before="120"/>
      </w:pPr>
      <w:r>
        <w:rPr>
          <w:b/>
          <w:bCs/>
        </w:rPr>
        <w:t xml:space="preserve">7.2 Условия для безопасного хранения, включая несовместимости</w:t>
      </w:r>
    </w:p>
    <w:p>
      <w:pPr>
        <w:spacing w:after="60" w:before="120"/>
      </w:pPr>
      <w:r>
        <w:rPr>
          <w:b/>
          <w:bCs/>
        </w:rPr>
        <w:t xml:space="preserve">Хранение:</w:t>
      </w:r>
    </w:p>
    <w:p>
      <w:pPr>
        <w:spacing w:after="80"/>
      </w:pPr>
      <w:r>
        <w:rPr>
          <w:b/>
          <w:bCs/>
        </w:rPr>
        <w:t xml:space="preserve">Требования к складским помещениям и ёмкостям: </w:t>
      </w:r>
      <w:r>
        <w:t xml:space="preserve">Особых требований нет.</w:t>
      </w:r>
    </w:p>
    <w:p>
      <w:pPr>
        <w:spacing w:after="80"/>
      </w:pPr>
      <w:r>
        <w:rPr>
          <w:b/>
          <w:bCs/>
        </w:rPr>
        <w:t xml:space="preserve">Информация о хранении в одном общем складском помещении: </w:t>
      </w:r>
      <w:r>
        <w:t xml:space="preserve">Не требуется</w:t>
      </w:r>
    </w:p>
    <w:p>
      <w:pPr>
        <w:spacing w:after="80"/>
      </w:pPr>
      <w:r>
        <w:rPr>
          <w:b/>
          <w:bCs/>
        </w:rPr>
        <w:t xml:space="preserve">Дополнительная информация об условиях хранения: </w:t>
      </w:r>
      <w:r>
        <w:t xml:space="preserve">Держать ёмкость плотно закрытой.</w:t>
      </w:r>
    </w:p>
    <w:p>
      <w:pPr>
        <w:spacing w:after="80"/>
      </w:pPr>
      <w:r>
        <w:rPr>
          <w:b/>
          <w:bCs/>
        </w:rPr>
        <w:t xml:space="preserve">7.3 Особые виды конечного использования </w:t>
      </w:r>
      <w:r>
        <w:t xml:space="preserve">Дополнительная значимая информация отсутствует.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8.1 Параметры контроля</w:t>
      </w:r>
    </w:p>
    <w:p>
      <w:pPr>
        <w:spacing w:after="80"/>
      </w:pPr>
      <w:r>
        <w:rPr>
          <w:b/>
          <w:bCs/>
        </w:rPr>
        <w:t xml:space="preserve">Компоненты с предельными значениями, подлежащие контролю на рабочем месте: </w:t>
      </w:r>
      <w:r>
        <w:t xml:space="preserve">Продукт не содержит значимых количеств материалов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</w:rPr>
        <w:t xml:space="preserve">8.2 Контроль воздействия</w:t>
      </w:r>
    </w:p>
    <w:p>
      <w:pPr>
        <w:spacing w:after="80"/>
      </w:pPr>
      <w:r>
        <w:rPr>
          <w:b/>
          <w:bCs/>
        </w:rPr>
        <w:t xml:space="preserve">Соответствующие технические меры контроля </w:t>
      </w:r>
      <w:r>
        <w:t xml:space="preserve">Дополнительных данных нет; см. раздел 7.</w:t>
      </w:r>
    </w:p>
    <w:p>
      <w:pPr>
        <w:spacing w:after="60" w:before="120"/>
      </w:pPr>
      <w:r>
        <w:rPr>
          <w:b/>
          <w:bCs/>
        </w:rPr>
        <w:t xml:space="preserve">Общие защитные и гигиенические меры:</w:t>
      </w:r>
    </w:p>
    <w:p>
      <w:pPr>
        <w:spacing w:after="80"/>
      </w:pPr>
      <w:r>
        <w:t xml:space="preserve">Избегать контакта с глазами и кожей.</w:t>
      </w:r>
    </w:p>
    <w:p>
      <w:pPr>
        <w:spacing w:after="80"/>
      </w:pPr>
      <w:r>
        <w:t xml:space="preserve">Носить подходящую защитную одежду, перчатки и средства защиты глаз/лица.</w:t>
      </w:r>
    </w:p>
    <w:p>
      <w:pPr>
        <w:spacing w:after="80"/>
      </w:pPr>
      <w:r>
        <w:t xml:space="preserve">Лица, страдающие астмой, аллергией, хроническими или рецидивирующими заболеваниями дыхательных путей, не должны допускаться к работе с данным продуктом.</w:t>
      </w:r>
    </w:p>
    <w:p>
      <w:pPr>
        <w:spacing w:after="80"/>
      </w:pPr>
      <w:r>
        <w:t xml:space="preserve">Мыть руки перед перерывами и по окончании работы.</w:t>
      </w:r>
    </w:p>
    <w:p>
      <w:pPr>
        <w:spacing w:after="80"/>
      </w:pPr>
      <w:r>
        <w:rPr>
          <w:b/>
          <w:bCs/>
        </w:rPr>
        <w:t xml:space="preserve">Защита органов дыхания: </w:t>
      </w:r>
      <w:r>
        <w:t xml:space="preserve">Не требуется. Обеспечить хорошую вентиляцию помещения во время обработки.</w:t>
      </w:r>
    </w:p>
    <w:p>
      <w:pPr>
        <w:spacing w:after="60" w:before="120"/>
      </w:pPr>
      <w:r>
        <w:rPr>
          <w:b/>
          <w:bCs/>
        </w:rPr>
        <w:t xml:space="preserve">Защита рук</w:t>
      </w:r>
    </w:p>
    <w:p>
      <w:pPr>
        <w:spacing w:after="80"/>
      </w:pPr>
      <w:r>
        <w:t xml:space="preserve">Использовать перчатки из стойкого материала (например, нитрила) — при необходимости трикотажные для улучшения комфорта (EN 374)</w:t>
      </w:r>
    </w:p>
    <w:p>
      <w:pPr>
        <w:spacing w:after="80"/>
      </w:pPr>
      <w:r>
        <w:rPr>
          <w:b/>
          <w:bCs/>
        </w:rPr>
        <w:t xml:space="preserve">Материал перчаток: </w:t>
      </w:r>
      <w:r>
        <w:t xml:space="preserve">Бутилкаучук, БК
Нитриловый каучук, НБК
Рекомендуемая толщина материала: ≥ 0,5 мм</w:t>
      </w:r>
    </w:p>
    <w:p>
      <w:pPr>
        <w:spacing w:after="80"/>
      </w:pPr>
      <w:r>
        <w:rPr>
          <w:b/>
          <w:bCs/>
        </w:rPr>
        <w:t xml:space="preserve">Время проникновения материала перчаток: </w:t>
      </w:r>
      <w:r>
        <w:t xml:space="preserve">Точное время прорыва должно быть установлено производителем защитных перчаток и соблюдаться.</w:t>
      </w:r>
    </w:p>
    <w:p>
      <w:pPr>
        <w:spacing w:after="80"/>
      </w:pPr>
      <w:r>
        <w:rPr>
          <w:b/>
          <w:bCs/>
        </w:rPr>
        <w:t xml:space="preserve">Защита глаз/лица: </w:t>
      </w:r>
      <w:r>
        <w:t xml:space="preserve">Плотно прилегающие защитные очки (EN 166)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9.1 Информация об основных физических и химических свойствах</w:t>
      </w:r>
    </w:p>
    <w:p>
      <w:pPr>
        <w:spacing w:after="60" w:before="120"/>
      </w:pPr>
      <w:r>
        <w:rPr>
          <w:b/>
          <w:bCs/>
        </w:rPr>
        <w:t xml:space="preserve">Общая информация</w:t>
      </w:r>
    </w:p>
    <w:tbl>
      <w:tblPr>
        <w:tblW w:type="dxa" w:w="963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20"/>
        <w:gridCol w:w="4819"/>
      </w:tblGrid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Физическое состояние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Жидкость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Цвет: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От бесцветного до желтоватого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Запах: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Слабый, характерный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Порог восприятия запаха: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Точка плавления/замерзания: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Точка кипения или начальная точка кипения и диапазон кипения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Воспламеняемость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применимо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Нижний предел взрываемости: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Верхний предел взрываемости: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Температура вспышки: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&gt;190 °C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Температура разложения: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pH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Кинематическая вязкость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Динамическая вязкость при 20 °C: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1 500-3 500 мПа·с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Растворимость в воде: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смешивается или трудно смешивается.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Коэффициент распределения н-октанол/вода (log)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Давление паров: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Плотность при 20 °C: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1,16 г/см³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Относительная плотность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Плотность паров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9.2 Прочая информация</w:t>
      </w:r>
    </w:p>
    <w:p>
      <w:pPr>
        <w:spacing w:after="80"/>
      </w:pPr>
      <w:r>
        <w:rPr>
          <w:b/>
          <w:bCs/>
        </w:rPr>
        <w:t xml:space="preserve">Форма: </w:t>
      </w:r>
      <w:r>
        <w:t xml:space="preserve">Жидкая</w:t>
      </w:r>
    </w:p>
    <w:p>
      <w:pPr>
        <w:spacing w:after="80"/>
      </w:pPr>
      <w:r>
        <w:rPr>
          <w:b/>
          <w:bCs/>
        </w:rPr>
        <w:t xml:space="preserve">Температура воспламенения: </w:t>
      </w:r>
      <w:r>
        <w:t xml:space="preserve">&gt;400 °C</w:t>
      </w:r>
    </w:p>
    <w:p>
      <w:pPr>
        <w:spacing w:after="80"/>
      </w:pPr>
      <w:r>
        <w:rPr>
          <w:b/>
          <w:bCs/>
        </w:rPr>
        <w:t xml:space="preserve">Взрывоопасные свойства: </w:t>
      </w:r>
      <w:r>
        <w:t xml:space="preserve">Продукт не представляет взрывоопасности.</w:t>
      </w:r>
    </w:p>
    <w:p>
      <w:pPr>
        <w:spacing w:after="80"/>
      </w:pPr>
      <w:r>
        <w:rPr>
          <w:b/>
          <w:bCs/>
        </w:rPr>
        <w:t xml:space="preserve">Скорость испарения </w:t>
      </w:r>
      <w:r>
        <w:t xml:space="preserve">Не определена</w:t>
      </w:r>
    </w:p>
    <w:p>
      <w:pPr>
        <w:spacing w:after="60" w:before="120"/>
      </w:pPr>
      <w:r>
        <w:rPr>
          <w:b/>
          <w:bCs/>
        </w:rPr>
        <w:t xml:space="preserve">Информация в отношении классов физической опасности</w:t>
      </w:r>
    </w:p>
    <w:p>
      <w:pPr>
        <w:spacing w:after="80"/>
      </w:pPr>
      <w:r>
        <w:rPr>
          <w:b/>
          <w:bCs/>
        </w:rPr>
        <w:t xml:space="preserve">Взрывчатые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газы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Аэрозоли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газы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Газы под давлением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Саморазлагающиеся вещества и смеси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Пирофорные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Пирофорные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Самонагревающиеся вещества и смеси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Вещества и смеси, выделяющие легковоспламеняющиеся газы при контакте с водой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Органические пероксиды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Коррозионность в отношении металлов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Десенсибилизированные взрывчатые вещества </w:t>
      </w:r>
      <w:r>
        <w:t xml:space="preserve">Не применимо (Void)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10.1 Реакционная способность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10.2 Химическая стабильность </w:t>
      </w:r>
      <w:r>
        <w:t xml:space="preserve"/>
      </w:r>
    </w:p>
    <w:p>
      <w:pPr>
        <w:spacing w:after="80"/>
      </w:pPr>
      <w:r>
        <w:rPr>
          <w:b/>
          <w:bCs/>
        </w:rPr>
        <w:t xml:space="preserve">Термическое разложение / условия, которых следует избегать: </w:t>
      </w:r>
      <w:r>
        <w:t xml:space="preserve">Начиная примерно с 260 °C — полимеризация и выделение CO₂.</w:t>
      </w:r>
    </w:p>
    <w:p>
      <w:pPr>
        <w:spacing w:after="80"/>
      </w:pPr>
      <w:r>
        <w:rPr>
          <w:b/>
          <w:bCs/>
        </w:rPr>
        <w:t xml:space="preserve">10.3 Возможность опасных реакций </w:t>
      </w:r>
      <w:r>
        <w:t xml:space="preserve">Продукт медленно реагирует с водой с выделением углекислого газа. В закрытых ёмкостях повышение давления может привести к деформации, вздутию, а в крайних случаях — к разрыву ёмкости.</w:t>
      </w:r>
    </w:p>
    <w:p>
      <w:pPr>
        <w:spacing w:after="80"/>
      </w:pPr>
      <w:r>
        <w:rPr>
          <w:b/>
          <w:bCs/>
        </w:rPr>
        <w:t xml:space="preserve">10.4 Условия, которых следует избегать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10.5 Несовместимые материалы: </w:t>
      </w:r>
      <w:r>
        <w:t xml:space="preserve">Неконтролируемые экзотермические реакции происходят с аминами и спиртами. При хранении избегать контакта с влагой.</w:t>
      </w:r>
    </w:p>
    <w:p>
      <w:pPr>
        <w:spacing w:after="80"/>
      </w:pPr>
      <w:r>
        <w:rPr>
          <w:b/>
          <w:bCs/>
        </w:rPr>
        <w:t xml:space="preserve">10.6 Опасные продукты разложения: </w:t>
      </w:r>
      <w:r>
        <w:t xml:space="preserve">При пожаре могут образовываться опасные продукты разложения, такие как дым, оксид углерода, диоксид углерода, оксиды азота, цианистый водород, мономерные изоцианаты, амины и спирты.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11.1 Информация о классах опасности согласно Регламенту (ЕС) № 1272/2008</w:t>
      </w:r>
    </w:p>
    <w:p>
      <w:pPr>
        <w:spacing w:after="80"/>
      </w:pPr>
      <w:r>
        <w:rPr>
          <w:b/>
          <w:bCs/>
        </w:rPr>
        <w:t xml:space="preserve">Острая токсичность </w:t>
      </w:r>
      <w:r>
        <w:t xml:space="preserve">Вредно при вдыхании.</w:t>
      </w:r>
    </w:p>
    <w:p>
      <w:pPr>
        <w:spacing w:after="60" w:before="120"/>
      </w:pPr>
      <w:r>
        <w:rPr>
          <w:b/>
          <w:bCs/>
        </w:rPr>
        <w:t xml:space="preserve">Значения LD/LC50, значимые для классификации:</w:t>
      </w:r>
    </w:p>
    <w:p>
      <w:pPr>
        <w:spacing w:after="80"/>
      </w:pPr>
      <w:r>
        <w:t xml:space="preserve">CAS: 666723-27-9 Алифатический полиизоцианат</w:t>
      </w:r>
    </w:p>
    <w:p>
      <w:pPr>
        <w:spacing w:after="80"/>
      </w:pPr>
      <w:r>
        <w:t xml:space="preserve">Оральная LD50 ≥5 000 мг/кг (крыса) (руководство OECD 423)</w:t>
      </w:r>
    </w:p>
    <w:p>
      <w:pPr>
        <w:spacing w:after="80"/>
      </w:pPr>
      <w:r>
        <w:t xml:space="preserve">Ингаляционная LC50/4ч 1,5 мг/л (крыса) (руководство OECD 403)</w:t>
      </w:r>
    </w:p>
    <w:p>
      <w:pPr>
        <w:spacing w:after="60" w:before="120"/>
      </w:pPr>
      <w:r>
        <w:rPr>
          <w:b/>
          <w:bCs/>
        </w:rPr>
        <w:t xml:space="preserve">Первичное раздражающее действие:</w:t>
      </w:r>
    </w:p>
    <w:p>
      <w:pPr>
        <w:spacing w:after="80"/>
      </w:pPr>
      <w:r>
        <w:rPr>
          <w:b/>
          <w:bCs/>
        </w:rPr>
        <w:t xml:space="preserve">Коррозия/раздражение кожи </w:t>
      </w:r>
      <w:r>
        <w:t xml:space="preserve">Возможен слабый раздражающий эффект. 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Серьёзное повреждение глаз/раздражение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Сенсибилизация дыхательных путей или кожи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Мутагенность зародышевых клеток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Канцерогенность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Репродуктивная токсичность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Специфическая токсичность на органы-мишени (однократное воздействие)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Специфическая токсичность на органы-мишени (повторное воздействие)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Опасность при аспирации </w:t>
      </w:r>
      <w:r>
        <w:t xml:space="preserve">На основании имеющихся данных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Дополнительная токсикологическая информация:</w:t>
      </w:r>
    </w:p>
    <w:p>
      <w:pPr>
        <w:spacing w:after="80"/>
      </w:pPr>
      <w:r>
        <w:t xml:space="preserve">С учётом свойств изоцианатных компонентов и токсикологических данных по аналогичным составам, данный состав может вызывать острое раздражение и/или сенсибилизацию дыхательной системы, приводящую к астматическому состоянию, свистящему дыханию и стеснению в груди. У сенсибилизированных лиц впоследствии могут проявляться астматические симптомы при воздействии концентраций значительно ниже предельно допустимых. Повторное воздействие может привести к постоянной дыхательной недостаточности.</w:t>
      </w:r>
    </w:p>
    <w:p>
      <w:pPr>
        <w:spacing w:after="60" w:before="120"/>
      </w:pPr>
      <w:r>
        <w:rPr>
          <w:b/>
          <w:bCs/>
        </w:rPr>
        <w:t xml:space="preserve">11.2 Информация о прочих опасностях</w:t>
      </w:r>
    </w:p>
    <w:p>
      <w:pPr>
        <w:spacing w:after="80"/>
      </w:pPr>
      <w:r>
        <w:rPr>
          <w:b/>
          <w:bCs/>
        </w:rPr>
        <w:t xml:space="preserve">Свойства эндокринных разрушителей </w:t>
      </w:r>
      <w:r>
        <w:t xml:space="preserve">Ни один из компонентов не включён в список.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12.1 Токсичность </w:t>
      </w:r>
      <w:r>
        <w:t xml:space="preserve"/>
      </w:r>
    </w:p>
    <w:p>
      <w:pPr>
        <w:spacing w:after="80"/>
      </w:pPr>
      <w:r>
        <w:rPr>
          <w:b/>
          <w:bCs/>
        </w:rPr>
        <w:t xml:space="preserve">Токсичность для водных организмов: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12.2 Стойкость и разлагаемость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12.3 Биоаккумулятивный потенциал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12.4 Мобильность в почве </w:t>
      </w: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12.5 Результаты оценки СБТ и оСБсБ</w:t>
      </w:r>
    </w:p>
    <w:p>
      <w:pPr>
        <w:spacing w:after="80"/>
      </w:pPr>
      <w:r>
        <w:rPr>
          <w:b/>
          <w:bCs/>
        </w:rPr>
        <w:t xml:space="preserve">СБТ: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оСБсБ: </w:t>
      </w: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12.6 Свойства эндокринных разрушителей</w:t>
      </w:r>
    </w:p>
    <w:p>
      <w:pPr>
        <w:spacing w:after="80"/>
      </w:pPr>
      <w:r>
        <w:t xml:space="preserve">Продукт не содержит веществ, обладающих свойствами эндокринных разрушителей.</w:t>
      </w:r>
    </w:p>
    <w:p>
      <w:pPr>
        <w:spacing w:after="60" w:before="120"/>
      </w:pPr>
      <w:r>
        <w:rPr>
          <w:b/>
          <w:bCs/>
        </w:rPr>
        <w:t xml:space="preserve">12.7 Прочие неблагоприятные эффекты</w:t>
      </w:r>
    </w:p>
    <w:p>
      <w:pPr>
        <w:spacing w:after="80"/>
      </w:pPr>
      <w:r>
        <w:rPr>
          <w:b/>
          <w:bCs/>
        </w:rPr>
        <w:t xml:space="preserve">Примечание: </w:t>
      </w:r>
      <w:r>
        <w:t xml:space="preserve">Вредно для рыб</w:t>
      </w:r>
    </w:p>
    <w:p>
      <w:pPr>
        <w:spacing w:after="60" w:before="120"/>
      </w:pPr>
      <w:r>
        <w:rPr>
          <w:b/>
          <w:bCs/>
        </w:rPr>
        <w:t xml:space="preserve">Дополнительная экологическая информация:</w:t>
      </w:r>
    </w:p>
    <w:p>
      <w:pPr>
        <w:spacing w:after="60" w:before="120"/>
      </w:pPr>
      <w:r>
        <w:rPr>
          <w:b/>
          <w:bCs/>
        </w:rPr>
        <w:t xml:space="preserve">Общие указания:</w:t>
      </w:r>
    </w:p>
    <w:p>
      <w:pPr>
        <w:spacing w:after="80"/>
      </w:pPr>
      <w:r>
        <w:t xml:space="preserve">Вредно для водных организмов</w:t>
      </w:r>
    </w:p>
    <w:p>
      <w:pPr>
        <w:spacing w:after="80"/>
      </w:pPr>
      <w:r>
        <w:t xml:space="preserve">Не допускать попадания продукта в грунтовые воды, водоёмы или канализацию.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13.1 Методы обработки отходов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Продукт содержит вещества, вредные для окружающей среды.</w:t>
      </w:r>
    </w:p>
    <w:p>
      <w:pPr>
        <w:spacing w:after="80"/>
      </w:pPr>
      <w:r>
        <w:t xml:space="preserve">Не допускать попадания продукта в грунтовые воды, водоёмы или канализацию.</w:t>
      </w:r>
    </w:p>
    <w:p>
      <w:pPr>
        <w:spacing w:after="80"/>
      </w:pPr>
      <w:r>
        <w:t xml:space="preserve">Утилизация должна производиться в соответствии с местным, региональным или национальным законодательством.</w:t>
      </w:r>
    </w:p>
    <w:p>
      <w:pPr>
        <w:spacing w:after="60" w:before="120"/>
      </w:pPr>
      <w:r>
        <w:rPr>
          <w:b/>
          <w:bCs/>
        </w:rPr>
        <w:t xml:space="preserve">Загрязнённая упаковка:</w:t>
      </w:r>
    </w:p>
    <w:p>
      <w:pPr>
        <w:spacing w:after="80"/>
      </w:pPr>
      <w:r>
        <w:rPr>
          <w:b/>
          <w:bCs/>
        </w:rPr>
        <w:t xml:space="preserve">Рекомендация: </w:t>
      </w:r>
      <w:r>
        <w:t xml:space="preserve">Полностью опорожнить загрязнённую упаковку. После тщательной и надлежащей очистки её можно сдать на переработку.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14.1 Номер ООН или идентификационный номер — ADR, ADN,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14.2 Надлежащее транспортное наименование ООН — ADR, ADN,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14.3 Класс(ы) транспортной опасности — ADR, ADN, IMDG, IATA, Класс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14.4 Группа упаковки — ADR,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14.5 Опасности для окружающей среды — Загрязнитель морской среды: </w:t>
      </w:r>
      <w:r>
        <w:t xml:space="preserve">Нет</w:t>
      </w:r>
    </w:p>
    <w:p>
      <w:pPr>
        <w:spacing w:after="80"/>
      </w:pPr>
      <w:r>
        <w:rPr>
          <w:b/>
          <w:bCs/>
        </w:rPr>
        <w:t xml:space="preserve">14.6 Особые меры предосторожности для пользователя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14.7 Морская перевозка навалом согласно документам ИМО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Транспорт/Дополнительная информация: </w:t>
      </w:r>
      <w:r>
        <w:t xml:space="preserve">Не является опасным согласно указанным выше характеристикам.</w:t>
      </w:r>
    </w:p>
    <w:p>
      <w:pPr>
        <w:spacing w:after="80"/>
      </w:pPr>
      <w:r>
        <w:rPr>
          <w:b/>
          <w:bCs/>
        </w:rPr>
        <w:t xml:space="preserve">«Модельные правила» ООН: </w:t>
      </w:r>
      <w:r>
        <w:t xml:space="preserve">Не применимо (Void)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15.1 Нормы безопасности, охраны здоровья и окружающей среды/законодательство, специфичное для вещества или смеси</w:t>
      </w:r>
    </w:p>
    <w:p>
      <w:pPr>
        <w:spacing w:after="60" w:before="120"/>
      </w:pPr>
      <w:r>
        <w:rPr>
          <w:b/>
          <w:bCs/>
        </w:rPr>
        <w:t xml:space="preserve">Закон о ядах (Poisons Act)</w:t>
      </w:r>
    </w:p>
    <w:p>
      <w:pPr>
        <w:spacing w:after="80"/>
      </w:pPr>
      <w:r>
        <w:rPr>
          <w:b/>
          <w:bCs/>
        </w:rPr>
        <w:t xml:space="preserve">Регулируемые прекурсоры взрывчатых веществ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Регулируемые яды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Прекурсоры взрывчатых веществ, подлежащие отчётности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Яды, подлежащие отчётности </w:t>
      </w:r>
      <w:r>
        <w:t xml:space="preserve">Ни один из компонентов не включён в список.</w:t>
      </w:r>
    </w:p>
    <w:p>
      <w:pPr>
        <w:spacing w:after="60" w:before="120"/>
      </w:pPr>
      <w:r>
        <w:rPr>
          <w:b/>
          <w:bCs/>
        </w:rPr>
        <w:t xml:space="preserve">Директива 2012/18/ЕС</w:t>
      </w:r>
    </w:p>
    <w:p>
      <w:pPr>
        <w:spacing w:after="80"/>
      </w:pPr>
      <w:r>
        <w:rPr>
          <w:b/>
          <w:bCs/>
        </w:rPr>
        <w:t xml:space="preserve">Поименованные опасные вещества — ПРИЛОЖЕНИЕ I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РЕГЛАМЕНТ (ЕС) № 1907/2006, ПРИЛОЖЕНИЕ XVII </w:t>
      </w:r>
      <w:r>
        <w:t xml:space="preserve">Условия ограничения: 3</w:t>
      </w:r>
    </w:p>
    <w:p>
      <w:pPr>
        <w:spacing w:after="80"/>
      </w:pPr>
      <w:r>
        <w:rPr>
          <w:b/>
          <w:bCs/>
        </w:rPr>
        <w:t xml:space="preserve">15.2 Оценка химической безопасности: </w:t>
      </w:r>
      <w:r>
        <w:t xml:space="preserve">Оценка химической безопасности не проводилась.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t xml:space="preserve">Настоящая информация основана на наших текущих знаниях. Однако она не является гарантией каких-либо конкретных свойств продукта и не устанавливает юридически действительных договорных отношений.</w:t>
      </w:r>
    </w:p>
    <w:p>
      <w:pPr>
        <w:spacing w:after="80"/>
      </w:pPr>
      <w:r>
        <w:t xml:space="preserve">Данный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</w:rPr>
        <w:t xml:space="preserve">Значимые фразы</w:t>
      </w:r>
    </w:p>
    <w:p>
      <w:pPr>
        <w:spacing w:after="80"/>
      </w:pPr>
      <w:r>
        <w:t xml:space="preserve">H317 Может вызывать аллергическую кожную реакцию.</w:t>
      </w:r>
    </w:p>
    <w:p>
      <w:pPr>
        <w:spacing w:after="80"/>
      </w:pPr>
      <w:r>
        <w:t xml:space="preserve">H332 Вредно при вдыхании.</w:t>
      </w:r>
    </w:p>
    <w:p>
      <w:pPr>
        <w:spacing w:after="80"/>
      </w:pPr>
      <w:r>
        <w:t xml:space="preserve">H335 Может вызывать раздражение дыхательных путей.</w:t>
      </w:r>
    </w:p>
    <w:p>
      <w:pPr>
        <w:spacing w:after="80"/>
      </w:pPr>
      <w:r>
        <w:t xml:space="preserve">H412 Вредно для водных организмов с долгосрочными последствиями.</w:t>
      </w:r>
    </w:p>
    <w:p>
      <w:pPr>
        <w:spacing w:after="80"/>
      </w:pPr>
      <w:r>
        <w:t xml:space="preserve">EUH204 Содержит изоцианаты. Может вызывать аллергическую реакцию.</w:t>
      </w:r>
    </w:p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Рекомендуемое ограничение использования </w:t>
      </w:r>
      <w:r>
        <w:t xml:space="preserve">Только для профессионального использования.</w:t>
      </w:r>
    </w:p>
    <w:p>
      <w:pPr>
        <w:spacing w:after="60" w:before="120"/>
      </w:pPr>
      <w:r>
        <w:rPr>
          <w:b/>
          <w:bCs/>
        </w:rPr>
        <w:t xml:space="preserve">Классификация согласно Регламенту (ЕС) № 1272/2008</w:t>
      </w:r>
    </w:p>
    <w:p>
      <w:pPr>
        <w:spacing w:after="80"/>
      </w:pPr>
      <w:r>
        <w:t xml:space="preserve">Классификация смеси в целом основана на методе расчёта с использованием данных о веществах согласно Регламенту (ЕС) № 1272/2008.</w:t>
      </w:r>
    </w:p>
    <w:p>
      <w:pPr>
        <w:spacing w:after="80"/>
      </w:pPr>
      <w:r>
        <w:rPr>
          <w:b/>
          <w:bCs/>
        </w:rPr>
        <w:t xml:space="preserve">Контакт: </w:t>
      </w:r>
      <w:r>
        <w:t xml:space="preserve">E-Mail: msds.info@pallmann.net</w:t>
      </w:r>
    </w:p>
    <w:p>
      <w:pPr>
        <w:spacing w:after="60" w:before="120"/>
      </w:pPr>
      <w:r>
        <w:rPr>
          <w:b/>
          <w:bCs/>
        </w:rPr>
        <w:t xml:space="preserve">Сокращения и аббревиатуры:</w:t>
      </w:r>
    </w:p>
    <w:p>
      <w:pPr>
        <w:spacing w:after="80"/>
      </w:pPr>
      <w:r>
        <w:t xml:space="preserve">RID: Правила международной перевозки опасных грузов по железным дорогам</w:t>
      </w:r>
    </w:p>
    <w:p>
      <w:pPr>
        <w:spacing w:after="80"/>
      </w:pPr>
      <w:r>
        <w:t xml:space="preserve">ICAO: Международная организация гражданской авиации</w:t>
      </w:r>
    </w:p>
    <w:p>
      <w:pPr>
        <w:spacing w:after="80"/>
      </w:pPr>
      <w:r>
        <w:t xml:space="preserve">ADR: Европейское соглашение о международной дорожной перевозке опасных грузов</w:t>
      </w:r>
    </w:p>
    <w:p>
      <w:pPr>
        <w:spacing w:after="80"/>
      </w:pPr>
      <w:r>
        <w:t xml:space="preserve">IMDG: Международный кодекс морской перевозки опасных грузов</w:t>
      </w:r>
    </w:p>
    <w:p>
      <w:pPr>
        <w:spacing w:after="80"/>
      </w:pPr>
      <w:r>
        <w:t xml:space="preserve">IATA: Международная ассоциация воздушного транспорта</w:t>
      </w:r>
    </w:p>
    <w:p>
      <w:pPr>
        <w:spacing w:after="80"/>
      </w:pPr>
      <w:r>
        <w:t xml:space="preserve">GHS: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t xml:space="preserve">EINECS: Европейский перечень существующих коммерческих химических веществ</w:t>
      </w:r>
    </w:p>
    <w:p>
      <w:pPr>
        <w:spacing w:after="80"/>
      </w:pPr>
      <w:r>
        <w:t xml:space="preserve">ELINCS: Европейский список зарегистрированных химических веществ</w:t>
      </w:r>
    </w:p>
    <w:p>
      <w:pPr>
        <w:spacing w:after="80"/>
      </w:pPr>
      <w:r>
        <w:t xml:space="preserve">CAS: Служба химических рефератов (подразделение Американского химического общества)</w:t>
      </w:r>
    </w:p>
    <w:p>
      <w:pPr>
        <w:spacing w:after="80"/>
      </w:pPr>
      <w:r>
        <w:t xml:space="preserve">LC50: Летальная концентрация, 50 процентов</w:t>
      </w:r>
    </w:p>
    <w:p>
      <w:pPr>
        <w:spacing w:after="80"/>
      </w:pPr>
      <w:r>
        <w:t xml:space="preserve">LD50: Летальная доза, 50 процентов</w:t>
      </w:r>
    </w:p>
    <w:p>
      <w:pPr>
        <w:spacing w:after="80"/>
      </w:pPr>
      <w:r>
        <w:t xml:space="preserve">СБТ: стойкое, биоаккумулятивное и токсичное вещество</w:t>
      </w:r>
    </w:p>
    <w:p>
      <w:pPr>
        <w:spacing w:after="80"/>
      </w:pPr>
      <w:r>
        <w:t xml:space="preserve">оСБсБ: очень стойкое и очень биоаккумулятивное вещество</w:t>
      </w:r>
    </w:p>
    <w:p>
      <w:pPr>
        <w:spacing w:after="80"/>
      </w:pPr>
      <w:r>
        <w:t xml:space="preserve">Acute Tox. 4: Острая токсичность — Категория 4</w:t>
      </w:r>
    </w:p>
    <w:p>
      <w:pPr>
        <w:spacing w:after="80"/>
      </w:pPr>
      <w:r>
        <w:t xml:space="preserve">Skin Sens. 1: Сенсибилизация кожи — Категория 1</w:t>
      </w:r>
    </w:p>
    <w:p>
      <w:pPr>
        <w:spacing w:after="80"/>
      </w:pPr>
      <w:r>
        <w:t xml:space="preserve">STOT SE 3: Специфическая токсичность на органы-мишени (однократное воздействие) — Категория 3</w:t>
      </w:r>
    </w:p>
    <w:p>
      <w:pPr>
        <w:spacing w:after="80"/>
      </w:pPr>
      <w:r>
        <w:t xml:space="preserve">Aquatic Chronic 3: Опасность для водной среды - долгосрочная водная опасность — Категория 3</w:t>
      </w:r>
    </w:p>
    <w:sectPr>
      <w:pgSz w:w="11907" w:h="16840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2026-07-20T16:26:49.530Z</dcterms:created>
  <dcterms:modified xsi:type="dcterms:W3CDTF">2026-07-20T16:26:49.530Z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