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PALL-X ZERO 2K Комп. A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rPr>
          <w:b/>
          <w:bCs/>
        </w:rPr>
        <w:t xml:space="preserve">Торговое название: </w:t>
      </w:r>
      <w:r>
        <w:t xml:space="preserve">PALL-X ZERO 2K Комп. A</w:t>
      </w:r>
    </w:p>
    <w:p>
      <w:pPr>
        <w:spacing w:after="8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 </w:t>
      </w: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использования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Только для профессионального использования.</w:t>
      </w:r>
    </w:p>
    <w:p>
      <w:pPr>
        <w:spacing w:after="80"/>
      </w:pPr>
      <w:r>
        <w:rPr>
          <w:b/>
          <w:bCs/>
        </w:rPr>
        <w:t xml:space="preserve">Категория продукта </w:t>
      </w:r>
      <w:r>
        <w:t xml:space="preserve">PC9a Покрытия и краски, разбавители, средства для снятия краски</w:t>
      </w:r>
    </w:p>
    <w:p>
      <w:pPr>
        <w:spacing w:after="80"/>
      </w:pPr>
      <w:r>
        <w:rPr>
          <w:b/>
          <w:bCs/>
        </w:rPr>
        <w:t xml:space="preserve">Применение вещества/смеси </w:t>
      </w:r>
      <w:r>
        <w:t xml:space="preserve">Герметик на водной основе, двухкомпонентный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rPr>
          <w:b/>
          <w:bCs/>
        </w:rPr>
        <w:t xml:space="preserve">Производитель/Поставщик: </w:t>
      </w:r>
      <w:r>
        <w:t xml:space="preserve"/>
      </w:r>
    </w:p>
    <w:p>
      <w:pPr>
        <w:spacing w:after="80"/>
      </w:pPr>
      <w:r>
        <w:t xml:space="preserve">PALLMANN GmbH</w:t>
      </w:r>
    </w:p>
    <w:p>
      <w:pPr>
        <w:spacing w:after="80"/>
      </w:pPr>
      <w:r>
        <w:t xml:space="preserve">Im Kreuz 6</w:t>
      </w:r>
    </w:p>
    <w:p>
      <w:pPr>
        <w:spacing w:after="80"/>
      </w:pPr>
      <w:r>
        <w:t xml:space="preserve">D-97076 Würzburg</w:t>
      </w:r>
    </w:p>
    <w:p>
      <w:pPr>
        <w:spacing w:after="80"/>
      </w:pPr>
      <w:r>
        <w:t xml:space="preserve">Тел.: +49 (0)931-27964-0</w:t>
      </w:r>
    </w:p>
    <w:p>
      <w:pPr>
        <w:spacing w:after="80"/>
      </w:pPr>
      <w:r>
        <w:t xml:space="preserve">Факс: +49 (0)931-27964-50</w:t>
      </w:r>
    </w:p>
    <w:p>
      <w:pPr>
        <w:spacing w:after="80"/>
      </w:pPr>
      <w:r>
        <w:rPr>
          <w:b/>
          <w:bCs/>
        </w:rPr>
        <w:t xml:space="preserve">Дополнительную информацию можно получить: </w:t>
      </w:r>
      <w:r>
        <w:t xml:space="preserve"/>
      </w:r>
    </w:p>
    <w:p>
      <w:pPr>
        <w:spacing w:after="80"/>
      </w:pPr>
      <w:r>
        <w:t xml:space="preserve">Products Development Lab</w:t>
      </w:r>
    </w:p>
    <w:p>
      <w:pPr>
        <w:spacing w:after="80"/>
      </w:pPr>
      <w:r>
        <w:t xml:space="preserve">E-Mail: msds.info@uzin-utz.com</w:t>
      </w:r>
    </w:p>
    <w:p>
      <w:pPr>
        <w:spacing w:after="60" w:before="120"/>
      </w:pPr>
      <w:r>
        <w:rPr>
          <w:b/>
          <w:bCs/>
        </w:rPr>
        <w:t xml:space="preserve">1.4 Телефон экстренной связи:</w:t>
      </w:r>
    </w:p>
    <w:p>
      <w:pPr>
        <w:spacing w:after="80"/>
      </w:pPr>
      <w:r>
        <w:t xml:space="preserve">Медицинские экстренные случаи (GIZ-Nord Poisons Center): +49 551 19240</w:t>
      </w:r>
    </w:p>
    <w:p>
      <w:pPr>
        <w:spacing w:after="80"/>
      </w:pPr>
      <w:r>
        <w:t xml:space="preserve">Транспортные экстренные случаи: +49 621 60 43 333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rPr>
          <w:b/>
          <w:bCs/>
        </w:rPr>
        <w:t xml:space="preserve">Классификация согласно Регламенту (ЕС) № 1272/2008 </w:t>
      </w:r>
      <w:r>
        <w:t xml:space="preserve"/>
      </w:r>
    </w:p>
    <w:p>
      <w:pPr>
        <w:spacing w:after="80"/>
      </w:pPr>
      <w:r>
        <w:t xml:space="preserve">Продукт не классифицируется согласно регламенту GB CLP (Великобритания).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Также см. паспорт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rPr>
          <w:b/>
          <w:bCs/>
        </w:rPr>
        <w:t xml:space="preserve">Маркировка согласно Регламенту (ЕС) № 1272/2008: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Пиктограммы опасности: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Сигнальное слово: </w:t>
      </w:r>
      <w:r>
        <w:t xml:space="preserve">Не применяется (Void)</w:t>
      </w:r>
    </w:p>
    <w:p>
      <w:pPr>
        <w:spacing w:after="80"/>
      </w:pPr>
      <w:r>
        <w:rPr>
          <w:b/>
          <w:bCs/>
        </w:rPr>
        <w:t xml:space="preserve">Указания на опасность: </w:t>
      </w:r>
      <w:r>
        <w:t xml:space="preserve">Не применяется (Void)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информация:</w:t>
      </w:r>
    </w:p>
    <w:p>
      <w:pPr>
        <w:spacing w:after="80"/>
      </w:pPr>
      <w: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rPr>
          <w:b/>
          <w:bCs/>
        </w:rPr>
        <w:t xml:space="preserve">Описание: </w:t>
      </w:r>
      <w:r>
        <w:t xml:space="preserve">Дисперсия смолы. Не содержит растворителей, не содержит жидких органических соединений с температурой кипения &lt; 200 °C</w:t>
      </w:r>
    </w:p>
    <w:p>
      <w:pPr>
        <w:spacing w:after="60" w:before="60"/>
      </w:pPr>
    </w:p>
    <w:p>
      <w:pPr>
        <w:spacing w:after="60" w:before="120"/>
      </w:pPr>
      <w:r>
        <w:rPr>
          <w:b/>
          <w:bCs/>
        </w:rPr>
        <w:t xml:space="preserve">Опасные компоненты: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5200"/>
        <w:gridCol w:w="2039"/>
      </w:tblGrid>
      <w:tr>
        <w:trPr>
          <w:tblHeader/>
        </w:trP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Идентификатор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Наименование / классификация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2634-33-5
EINECS: 220-120-9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1,2-бензизотиазол-3(2H)-он
Eye Dam. 1, H318; Aquatic Acute 1, H400; Acute Tox. 4, H302; Skin Irrit. 2, H315; Skin Sens. 1, H317
Специфический предел концентрации: Skin Sens. 1; H317: C ≥ 0,05 %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&lt;0,05%</w:t>
            </w:r>
          </w:p>
        </w:tc>
      </w:tr>
      <w:tr>
        <w:tc>
          <w:tcPr>
            <w:tcW w:type="dxa" w:w="24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CAS: 55965-84-9</w:t>
            </w:r>
          </w:p>
        </w:tc>
        <w:tc>
          <w:tcPr>
            <w:tcW w:type="dxa" w:w="5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Смесь: 5-хлор-2-метил-4-изотиазолин-3-он и 2-метил-2H-изотиазол-3-он (3:1)
Acute Tox. 3, H301; Acute Tox. 2, H310; Acute Tox. 2, H330; Skin Corr. 1C, H314; Eye Dam. 1, H318; Aquatic Acute 1, H400 (M=100); Aquatic Chronic 1, H410 (M=100); Skin Sens. 1A, H317, EUH071
Специфические пределы концентрации: Skin Corr. 1C; H314: C ≥ 0,6 %; Skin Irrit. 2; H315: 0,06 % ≤ C &lt; 0,6 %; Eye Dam. 1; H318: C ≥ 0,6 %; Eye Irrit. 2; H319: 0,06 % ≤ C &lt; 0,6 %; Skin Sens. 1A; H317: C ≥ 0,0015 %</w:t>
            </w:r>
          </w:p>
        </w:tc>
        <w:tc>
          <w:tcPr>
            <w:tcW w:type="dxa" w:w="203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&lt;0,0015%</w:t>
            </w:r>
          </w:p>
        </w:tc>
      </w:tr>
    </w:tbl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Формулировки перечисленных указаний на опасность приведены в разделе 16.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80"/>
      </w:pPr>
      <w:r>
        <w:rPr>
          <w:b/>
          <w:bCs/>
        </w:rPr>
        <w:t xml:space="preserve">Общая информация: </w:t>
      </w:r>
      <w:r>
        <w:t xml:space="preserve">Особые меры не требуются.</w:t>
      </w:r>
    </w:p>
    <w:p>
      <w:pPr>
        <w:spacing w:after="80"/>
      </w:pPr>
      <w:r>
        <w:rPr>
          <w:b/>
          <w:bCs/>
        </w:rPr>
        <w:t xml:space="preserve">При вдыхании: </w:t>
      </w:r>
      <w:r>
        <w:t xml:space="preserve">Обеспечить приток свежего воздуха; при жалобах обратиться к врачу.</w:t>
      </w:r>
    </w:p>
    <w:p>
      <w:pPr>
        <w:spacing w:after="80"/>
      </w:pPr>
      <w:r>
        <w:rPr>
          <w:b/>
          <w:bCs/>
        </w:rPr>
        <w:t xml:space="preserve">При контакте с кожей: </w:t>
      </w:r>
      <w:r>
        <w:t xml:space="preserve">Немедленно промыть водой с мылом и тщательно ополоснуть.</w:t>
      </w:r>
    </w:p>
    <w:p>
      <w:pPr>
        <w:spacing w:after="80"/>
      </w:pPr>
      <w:r>
        <w:rPr>
          <w:b/>
          <w:bCs/>
        </w:rPr>
        <w:t xml:space="preserve">При контакте с глазами: </w:t>
      </w: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b/>
          <w:bCs/>
        </w:rPr>
        <w:t xml:space="preserve">При проглатывании: </w:t>
      </w:r>
      <w:r>
        <w:t xml:space="preserve">Не вызывать рвоту; немедленно обратиться за медицинской помощью.</w:t>
      </w:r>
    </w:p>
    <w:p>
      <w:pPr>
        <w:spacing w:after="80"/>
      </w:pPr>
      <w:r>
        <w:rPr>
          <w:b/>
          <w:bCs/>
        </w:rPr>
        <w:t xml:space="preserve">4.2 Наиболее важные симптомы и эффекты, острые и отсроченные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 </w:t>
      </w:r>
      <w:r>
        <w:t xml:space="preserve">Также см. паспорт безопасности компонента B.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80"/>
      </w:pPr>
      <w:r>
        <w:rPr>
          <w:b/>
          <w:bCs/>
        </w:rPr>
        <w:t xml:space="preserve">Подходящие средства пожаротушения: </w:t>
      </w:r>
      <w:r>
        <w:t xml:space="preserve">CO₂, порошок или водяной распылитель. При крупных пожарах использовать водяной распылитель или пену, стойкую к спирту.</w:t>
      </w:r>
    </w:p>
    <w:p>
      <w:pPr>
        <w:spacing w:after="80"/>
      </w:pPr>
      <w:r>
        <w:rPr>
          <w:b/>
          <w:bCs/>
        </w:rPr>
        <w:t xml:space="preserve">Непригодные по соображениям безопасности средства пожаротушения: </w:t>
      </w:r>
      <w:r>
        <w:t xml:space="preserve">Вода в сплошной струе</w:t>
      </w:r>
    </w:p>
    <w:p>
      <w:pPr>
        <w:spacing w:after="80"/>
      </w:pPr>
      <w:r>
        <w:rPr>
          <w:b/>
          <w:bCs/>
        </w:rPr>
        <w:t xml:space="preserve">5.2 Особые опасности, возникающие в связи с веществом или смесью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80"/>
      </w:pPr>
      <w:r>
        <w:rPr>
          <w:b/>
          <w:bCs/>
        </w:rPr>
        <w:t xml:space="preserve">Средства защиты: </w:t>
      </w:r>
      <w:r>
        <w:t xml:space="preserve">Особые меры не требуются. Однако также см. паспорт безопасности компонента B.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t xml:space="preserve">Использовать средства индивидуальной защиты. Не допускать посторонних лиц.</w:t>
      </w:r>
    </w:p>
    <w:p>
      <w:pPr>
        <w:spacing w:after="80"/>
      </w:pPr>
      <w:r>
        <w:t xml:space="preserve">Обеспечить достаточную вентиляцию</w:t>
      </w:r>
    </w:p>
    <w:p>
      <w:pPr>
        <w:spacing w:after="80"/>
      </w:pPr>
      <w:r>
        <w:rPr>
          <w:b/>
          <w:bCs/>
        </w:rPr>
        <w:t xml:space="preserve">6.2 Меры предосторожности в отношении окружающей среды: </w:t>
      </w:r>
      <w: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Впитывать жидкость связывающим материалом (песок, диатомит, кислотосвязывающие вещества, универсальные связующие материалы, опилки).</w:t>
      </w:r>
    </w:p>
    <w:p>
      <w:pPr>
        <w:spacing w:after="80"/>
      </w:pPr>
      <w:r>
        <w:t xml:space="preserve">Утилизировать загрязнённый материал как отходы согласно разделу 13.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для информации по безопасному обращению.</w:t>
      </w:r>
    </w:p>
    <w:p>
      <w:pPr>
        <w:spacing w:after="80"/>
      </w:pPr>
      <w:r>
        <w:t xml:space="preserve">См. раздел 8 для информации о средствах индивидуальной защиты.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Немедленно снимать всю загрязнённую одежду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t xml:space="preserve">Также см. паспорт безопасности компонента B.</w:t>
      </w:r>
    </w:p>
    <w:p>
      <w:pPr>
        <w:spacing w:after="80"/>
      </w:pPr>
      <w:r>
        <w:rPr>
          <w:b/>
          <w:bCs/>
        </w:rPr>
        <w:t xml:space="preserve">Информация о пожаро- и взрывозащите: </w:t>
      </w:r>
      <w:r>
        <w:t xml:space="preserve">Особые меры не требуются.</w:t>
      </w:r>
    </w:p>
    <w:p>
      <w:pPr>
        <w:spacing w:after="60" w:before="120"/>
      </w:pPr>
      <w:r>
        <w:rPr>
          <w:b/>
          <w:bCs/>
        </w:rPr>
        <w:t xml:space="preserve">7.2 Условия для безопасного хранения, включая несовместимости</w:t>
      </w:r>
    </w:p>
    <w:p>
      <w:pPr>
        <w:spacing w:after="60" w:before="120"/>
      </w:pPr>
      <w:r>
        <w:rPr>
          <w:b/>
          <w:bCs/>
        </w:rPr>
        <w:t xml:space="preserve">Хранение:</w:t>
      </w:r>
    </w:p>
    <w:p>
      <w:pPr>
        <w:spacing w:after="80"/>
      </w:pPr>
      <w:r>
        <w:rPr>
          <w:b/>
          <w:bCs/>
        </w:rPr>
        <w:t xml:space="preserve">Требования к складским помещениям и ёмкостям: </w:t>
      </w:r>
      <w:r>
        <w:t xml:space="preserve">Особых требований нет.</w:t>
      </w:r>
    </w:p>
    <w:p>
      <w:pPr>
        <w:spacing w:after="80"/>
      </w:pPr>
      <w:r>
        <w:rPr>
          <w:b/>
          <w:bCs/>
        </w:rPr>
        <w:t xml:space="preserve">Информация о хранении в одном общем складском помещении: </w:t>
      </w:r>
      <w:r>
        <w:t xml:space="preserve">Не требуется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хранения:</w:t>
      </w:r>
    </w:p>
    <w:p>
      <w:pPr>
        <w:spacing w:after="80"/>
      </w:pPr>
      <w:r>
        <w:t xml:space="preserve">Держать ёмкость плотно закрытой.</w:t>
      </w:r>
    </w:p>
    <w:p>
      <w:pPr>
        <w:spacing w:after="80"/>
      </w:pPr>
      <w:r>
        <w:t xml:space="preserve">Беречь от мороза.</w:t>
      </w:r>
    </w:p>
    <w:p>
      <w:pPr>
        <w:spacing w:after="80"/>
      </w:pPr>
      <w:r>
        <w:rPr>
          <w:b/>
          <w:bCs/>
        </w:rPr>
        <w:t xml:space="preserve">7.3 Особые виды конечного использования </w:t>
      </w:r>
      <w:r>
        <w:t xml:space="preserve">Дополнительная значимая информация отсутствует.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80"/>
      </w:pPr>
      <w:r>
        <w:rPr>
          <w:b/>
          <w:bCs/>
        </w:rPr>
        <w:t xml:space="preserve">Компоненты с предельными значениями, подлежащие контролю на рабочем месте: </w:t>
      </w:r>
      <w:r>
        <w:t xml:space="preserve">Продукт не содержит значимых количеств материалов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80"/>
      </w:pPr>
      <w:r>
        <w:rPr>
          <w:b/>
          <w:bCs/>
        </w:rPr>
        <w:t xml:space="preserve">Соответствующие технические меры контроля </w:t>
      </w: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меры:</w:t>
      </w:r>
    </w:p>
    <w:p>
      <w:pPr>
        <w:spacing w:after="80"/>
      </w:pPr>
      <w:r>
        <w:t xml:space="preserve">Немедленно снимать всю загрязнённую одежду</w:t>
      </w:r>
    </w:p>
    <w:p>
      <w:pPr>
        <w:spacing w:after="80"/>
      </w:pPr>
      <w:r>
        <w:t xml:space="preserve">Избегать контакта с глазами и кожей.</w:t>
      </w:r>
    </w:p>
    <w:p>
      <w:pPr>
        <w:spacing w:after="80"/>
      </w:pPr>
      <w: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t xml:space="preserve">Не допускать контакта с пищевыми продуктами, напитками и кормами.</w:t>
      </w:r>
    </w:p>
    <w:p>
      <w:pPr>
        <w:spacing w:after="80"/>
      </w:pPr>
      <w:r>
        <w:t xml:space="preserve">Мыть руки перед перерывами и по окончании работы.</w:t>
      </w:r>
    </w:p>
    <w:p>
      <w:pPr>
        <w:spacing w:after="80"/>
      </w:pPr>
      <w:r>
        <w:rPr>
          <w:b/>
          <w:bCs/>
        </w:rPr>
        <w:t xml:space="preserve">Защита органов дыхания: </w:t>
      </w:r>
      <w:r>
        <w:t xml:space="preserve">Не требуется. Обеспечить хорошую вентиляцию помещения во время обработки.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перчатки из стойкого материала (например, нитрила) — при необходимости трикотажные для улучшения комфорта (EN 374)</w:t>
      </w:r>
    </w:p>
    <w:p>
      <w:pPr>
        <w:spacing w:after="80"/>
      </w:pPr>
      <w:r>
        <w:rPr>
          <w:b/>
          <w:bCs/>
        </w:rPr>
        <w:t xml:space="preserve">Материал перчаток: </w:t>
      </w:r>
      <w:r>
        <w:t xml:space="preserve">Бутилкаучук, БК
Нитриловый каучук, НБК
Рекомендуемая толщина материала: ≥ 0,5 мм</w:t>
      </w:r>
    </w:p>
    <w:p>
      <w:pPr>
        <w:spacing w:after="80"/>
      </w:pPr>
      <w:r>
        <w:rPr>
          <w:b/>
          <w:bCs/>
        </w:rPr>
        <w:t xml:space="preserve">Время проникновения материала перчаток: </w:t>
      </w: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80"/>
      </w:pPr>
      <w:r>
        <w:rPr>
          <w:b/>
          <w:bCs/>
        </w:rPr>
        <w:t xml:space="preserve">Защита глаз/лица: </w:t>
      </w:r>
      <w:r>
        <w:t xml:space="preserve">Плотно прилегающие защитные очки (EN 166)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9.1 Информация об основных физических и химических свойствах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tbl>
      <w:tblPr>
        <w:tblW w:type="dxa" w:w="963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20"/>
        <w:gridCol w:w="4819"/>
      </w:tblGrid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Физическое состояние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Жидкость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Цвет: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Белый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Запах: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Слабый, характерный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Порог восприятия запаха: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плавления/замерзания: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Точка кипения или начальная точка кипения и диапазон кипения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Воспламеняемость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Нижний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Верхний предел взрываемости: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вспышки: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применимо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Температура разложения: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pH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7,5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Кинематическая вязкость при 20 °C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20 с (DIN 53211/4)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Динамическая вязкость: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Растворимость в воде: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Диспергируется.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Коэффициент распределения н-октанол/вода (log)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определён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Давление паров: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определено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при 20 °C: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1,06 г/см³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Относительная плотность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  <w:tr>
        <w:tc>
          <w:tcPr>
            <w:tcW w:type="dxa" w:w="48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Плотность паров</w:t>
            </w:r>
          </w:p>
        </w:tc>
        <w:tc>
          <w:tcPr>
            <w:tcW w:type="dxa" w:w="481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</w:rPr>
              <w:t xml:space="preserve">Не определена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rPr>
          <w:b/>
          <w:bCs/>
        </w:rPr>
        <w:t xml:space="preserve">Форма: </w:t>
      </w:r>
      <w:r>
        <w:t xml:space="preserve">Жидкая</w:t>
      </w:r>
    </w:p>
    <w:p>
      <w:pPr>
        <w:spacing w:after="80"/>
      </w:pPr>
      <w:r>
        <w:rPr>
          <w:b/>
          <w:bCs/>
        </w:rPr>
        <w:t xml:space="preserve">Температура воспламенения: </w:t>
      </w:r>
      <w:r>
        <w:t xml:space="preserve">Продукт не является самовоспламеняющимся.</w:t>
      </w:r>
    </w:p>
    <w:p>
      <w:pPr>
        <w:spacing w:after="80"/>
      </w:pPr>
      <w:r>
        <w:rPr>
          <w:b/>
          <w:bCs/>
        </w:rPr>
        <w:t xml:space="preserve">Взрывоопасные свойства: </w:t>
      </w:r>
      <w:r>
        <w:t xml:space="preserve">Продукт не представляет взрывоопасности.</w:t>
      </w:r>
    </w:p>
    <w:p>
      <w:pPr>
        <w:spacing w:after="80"/>
      </w:pPr>
      <w:r>
        <w:rPr>
          <w:b/>
          <w:bCs/>
        </w:rPr>
        <w:t xml:space="preserve">Скорость испарения </w:t>
      </w:r>
      <w:r>
        <w:t xml:space="preserve">Не определена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rPr>
          <w:b/>
          <w:bCs/>
        </w:rPr>
        <w:t xml:space="preserve">Взрывчатые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Аэрозоли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газы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Газы под давлением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Легковоспламеняющиеся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Саморазлагающиеся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Пирофорные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Самонагревающиеся вещества и смеси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Вещества и смеси, выделяющие легковоспламеняющиеся газы при контакте с водой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жидкости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Окисляющие твёрдые вещества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Органические пероксиды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Коррозионность в отношении металлов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Десенсибилизированные взрывчатые вещества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10.1 Реакционная способность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10.2 Химическая стабильность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Термическое разложение / условия, которых следует избегать: </w:t>
      </w:r>
      <w:r>
        <w:t xml:space="preserve">Разложения не происходит при использовании по назначению.</w:t>
      </w:r>
    </w:p>
    <w:p>
      <w:pPr>
        <w:spacing w:after="80"/>
      </w:pPr>
      <w:r>
        <w:rPr>
          <w:b/>
          <w:bCs/>
        </w:rPr>
        <w:t xml:space="preserve">10.3 Возможность опасных реакций </w:t>
      </w:r>
      <w:r>
        <w:t xml:space="preserve">Опасные реакции неизвестны.</w:t>
      </w:r>
    </w:p>
    <w:p>
      <w:pPr>
        <w:spacing w:after="80"/>
      </w:pPr>
      <w:r>
        <w:rPr>
          <w:b/>
          <w:bCs/>
        </w:rPr>
        <w:t xml:space="preserve">10.4 Условия, которых следует избегать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10.5 Несовместимые материалы: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10.6 Опасные продукты разложения: </w:t>
      </w:r>
      <w:r>
        <w:t xml:space="preserve">Опасные продукты разложения неизвестны.</w:t>
      </w:r>
    </w:p>
    <w:p>
      <w:pPr>
        <w:spacing w:after="80"/>
      </w:pPr>
      <w:r>
        <w:rPr>
          <w:b/>
          <w:bCs/>
        </w:rPr>
        <w:t xml:space="preserve">Дополнительная информация: </w:t>
      </w:r>
      <w:r>
        <w:t xml:space="preserve">Также см. паспорт безопасности компонента B.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11.1 Информация о классах опасности согласно Регламенту (ЕС) № 1272/2008</w:t>
      </w:r>
    </w:p>
    <w:p>
      <w:pPr>
        <w:spacing w:after="80"/>
      </w:pPr>
      <w:r>
        <w:rPr>
          <w:b/>
          <w:bCs/>
        </w:rPr>
        <w:t xml:space="preserve">Острая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Коррозия/раздражение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Серьёзное повреждение глаз/раздражение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Сенсибилизация дыхательных путей или кожи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Мутагенность зародышевых клеток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Канцерогенность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Репродуктивная токсичность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(однократное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Специфическая токсичность на органы-мишени (повторное воздействие)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Опасность при аспирации </w:t>
      </w:r>
      <w:r>
        <w:t xml:space="preserve">На основании имеющихся данных критерии классификации не выполняются.</w:t>
      </w:r>
    </w:p>
    <w:p>
      <w:pPr>
        <w:spacing w:after="80"/>
      </w:pPr>
      <w:r>
        <w:rPr>
          <w:b/>
          <w:bCs/>
        </w:rPr>
        <w:t xml:space="preserve">Дополнительная токсикологическая информация: </w:t>
      </w:r>
      <w:r>
        <w:t xml:space="preserve">Также см. паспорт безопасности компонента B.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80"/>
      </w:pPr>
      <w:r>
        <w:rPr>
          <w:b/>
          <w:bCs/>
        </w:rPr>
        <w:t xml:space="preserve">Свойства эндокринных разрушителей </w:t>
      </w:r>
      <w:r>
        <w:t xml:space="preserve">Ни один из компонентов не включён в список.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12.1 Токсичность </w:t>
      </w:r>
      <w:r>
        <w:t xml:space="preserve"/>
      </w:r>
    </w:p>
    <w:p>
      <w:pPr>
        <w:spacing w:after="80"/>
      </w:pPr>
      <w:r>
        <w:rPr>
          <w:b/>
          <w:bCs/>
        </w:rPr>
        <w:t xml:space="preserve">Токсичность для водных организмов: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12.2 Стойкость и разлагаемость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12.3 Биоаккумулятивный потенциал </w:t>
      </w:r>
      <w:r>
        <w:t xml:space="preserve">Дополнительная значимая информация отсутствует.</w:t>
      </w:r>
    </w:p>
    <w:p>
      <w:pPr>
        <w:spacing w:after="80"/>
      </w:pPr>
      <w:r>
        <w:rPr>
          <w:b/>
          <w:bCs/>
        </w:rPr>
        <w:t xml:space="preserve">12.4 Мобильность в почве </w:t>
      </w: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СБТ и оСБсБ</w:t>
      </w:r>
    </w:p>
    <w:p>
      <w:pPr>
        <w:spacing w:after="80"/>
      </w:pPr>
      <w:r>
        <w:rPr>
          <w:b/>
          <w:bCs/>
        </w:rPr>
        <w:t xml:space="preserve">СБТ: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оСБсБ: </w:t>
      </w: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веществ, обладающих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Дополнительная экологическая информация:</w:t>
      </w:r>
    </w:p>
    <w:p>
      <w:pPr>
        <w:spacing w:after="80"/>
      </w:pPr>
      <w:r>
        <w:rPr>
          <w:b/>
          <w:bCs/>
        </w:rPr>
        <w:t xml:space="preserve">Общие указания: </w:t>
      </w:r>
      <w:r>
        <w:t xml:space="preserve">Не допускать попадания продукта в грунтовые воды, водоёмы или канализацию.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13.1 Методы обработки отходов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</w:t>
      </w:r>
    </w:p>
    <w:p>
      <w:pPr>
        <w:spacing w:after="80"/>
      </w:pPr>
      <w:r>
        <w:t xml:space="preserve">Небольшие количества впитывать связывающим материалом (песок, диатомит, кислотосвязывающие вещества, универсальные связующие материалы, опилки), дать затвердеть, затем утилизировать как строительные отходы.</w:t>
      </w:r>
    </w:p>
    <w:p>
      <w:pPr>
        <w:spacing w:after="80"/>
      </w:pPr>
      <w:r>
        <w:t xml:space="preserve">Большие количества утилизировать в соответствии с требованиями местных органов власти.</w:t>
      </w:r>
    </w:p>
    <w:p>
      <w:pPr>
        <w:spacing w:after="60" w:before="120"/>
      </w:pPr>
      <w:r>
        <w:rPr>
          <w:b/>
          <w:bCs/>
        </w:rPr>
        <w:t xml:space="preserve">Загрязнённая упаковка:</w:t>
      </w:r>
    </w:p>
    <w:p>
      <w:pPr>
        <w:spacing w:after="80"/>
      </w:pPr>
      <w:r>
        <w:rPr>
          <w:b/>
          <w:bCs/>
        </w:rPr>
        <w:t xml:space="preserve">Рекомендация: </w:t>
      </w:r>
      <w:r>
        <w:t xml:space="preserve">Полностью опорожнить загрязнённую упаковку. После тщательной и надлежащей очистки её можно сдать на переработку.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rPr>
          <w:b/>
          <w:bCs/>
        </w:rPr>
        <w:t xml:space="preserve">14.1 Номер ООН или идентификационный номер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14.2 Надлежащее транспортное наименование ООН — ADR, ADN,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14.3 Класс(ы) транспортной опасности — ADR, ADN, IMDG, IATA, Класс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14.4 Группа упаковки — ADR, IMDG, IATA </w:t>
      </w:r>
      <w:r>
        <w:t xml:space="preserve">Не применимо (Void)</w:t>
      </w:r>
    </w:p>
    <w:p>
      <w:pPr>
        <w:spacing w:after="80"/>
      </w:pPr>
      <w:r>
        <w:rPr>
          <w:b/>
          <w:bCs/>
        </w:rPr>
        <w:t xml:space="preserve">14.5 Опасности для окружающей среды — Загрязнитель морской среды: </w:t>
      </w:r>
      <w:r>
        <w:t xml:space="preserve">Нет</w:t>
      </w:r>
    </w:p>
    <w:p>
      <w:pPr>
        <w:spacing w:after="80"/>
      </w:pPr>
      <w:r>
        <w:rPr>
          <w:b/>
          <w:bCs/>
        </w:rPr>
        <w:t xml:space="preserve">14.6 Особые меры предосторожности для пользователя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14.7 Морская перевозка навалом согласно документам ИМО </w:t>
      </w:r>
      <w:r>
        <w:t xml:space="preserve">Не применимо.</w:t>
      </w:r>
    </w:p>
    <w:p>
      <w:pPr>
        <w:spacing w:after="80"/>
      </w:pPr>
      <w:r>
        <w:rPr>
          <w:b/>
          <w:bCs/>
        </w:rPr>
        <w:t xml:space="preserve">Транспорт/Дополнительная информация: </w:t>
      </w:r>
      <w:r>
        <w:t xml:space="preserve">Не является опасным согласно указанным выше характеристикам.</w:t>
      </w:r>
    </w:p>
    <w:p>
      <w:pPr>
        <w:spacing w:after="80"/>
      </w:pPr>
      <w:r>
        <w:rPr>
          <w:b/>
          <w:bCs/>
        </w:rPr>
        <w:t xml:space="preserve">«Модельные правила» ООН: </w:t>
      </w:r>
      <w:r>
        <w:t xml:space="preserve">Не применимо (Void)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100" w:before="100"/>
      </w:pPr>
    </w:p>
    <w:p>
      <w:pPr>
        <w:spacing w:after="60" w:before="120"/>
      </w:pPr>
      <w:r>
        <w:rPr>
          <w:b/>
          <w:bCs/>
        </w:rPr>
        <w:t xml:space="preserve">15.1 Нормы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Закон о ядах (Poisons Act)</w:t>
      </w:r>
    </w:p>
    <w:p>
      <w:pPr>
        <w:spacing w:after="80"/>
      </w:pPr>
      <w:r>
        <w:rPr>
          <w:b/>
          <w:bCs/>
        </w:rPr>
        <w:t xml:space="preserve">Регулируемые прекурсоры взрывчатых веществ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Регулируемые яды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Прекурсоры взрывчатых веществ, подлежащие отчётности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Яды, подлежащие отчётности </w:t>
      </w:r>
      <w:r>
        <w:t xml:space="preserve">Ни один из компонентов не включён в список.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rPr>
          <w:b/>
          <w:bCs/>
        </w:rPr>
        <w:t xml:space="preserve">Поименованные опасные вещества — ПРИЛОЖЕНИЕ I </w:t>
      </w:r>
      <w:r>
        <w:t xml:space="preserve">Ни один из компонентов не включён в список.</w:t>
      </w:r>
    </w:p>
    <w:p>
      <w:pPr>
        <w:spacing w:after="80"/>
      </w:pPr>
      <w:r>
        <w:rPr>
          <w:b/>
          <w:bCs/>
        </w:rPr>
        <w:t xml:space="preserve">15.2 Оценка химической безопасности: </w:t>
      </w:r>
      <w:r>
        <w:t xml:space="preserve">Оценка химической безопасности не проводилась.</w:t>
      </w:r>
    </w:p>
    <w:tbl>
      <w:tblPr>
        <w:tblW w:type="dxa" w:w="9639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9"/>
      </w:tblGrid>
      <w:tr>
        <w:tc>
          <w:tcPr>
            <w:tcW w:type="dxa" w:w="9639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100" w:before="100"/>
      </w:pPr>
    </w:p>
    <w:p>
      <w:pPr>
        <w:spacing w:after="80"/>
      </w:pPr>
      <w:r>
        <w:t xml:space="preserve">Настоящая информация основана на наших текущих знаниях. Однако она не является гарантией каких-либо конкретных свойств продукта и не устанавливает юридически действительных договорных отношений.</w:t>
      </w:r>
    </w:p>
    <w:p>
      <w:pPr>
        <w:spacing w:after="80"/>
      </w:pPr>
      <w: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</w:rPr>
        <w:t xml:space="preserve">Значимые фразы</w:t>
      </w:r>
    </w:p>
    <w:p>
      <w:pPr>
        <w:spacing w:after="80"/>
      </w:pPr>
      <w:r>
        <w:t xml:space="preserve">H301 Токсично при проглатывании.</w:t>
      </w:r>
    </w:p>
    <w:p>
      <w:pPr>
        <w:spacing w:after="80"/>
      </w:pPr>
      <w:r>
        <w:t xml:space="preserve">H302 Вредно при проглатывании.</w:t>
      </w:r>
    </w:p>
    <w:p>
      <w:pPr>
        <w:spacing w:after="80"/>
      </w:pPr>
      <w:r>
        <w:t xml:space="preserve">H310 Смертельно при контакте с кожей.</w:t>
      </w:r>
    </w:p>
    <w:p>
      <w:pPr>
        <w:spacing w:after="80"/>
      </w:pPr>
      <w:r>
        <w:t xml:space="preserve">H314 Вызывает тяжёлые ожоги кожи и повреждения глаз.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серьёзные повреждения глаз.</w:t>
      </w:r>
    </w:p>
    <w:p>
      <w:pPr>
        <w:spacing w:after="80"/>
      </w:pPr>
      <w:r>
        <w:t xml:space="preserve">H319 Вызывает серьёзное раздражение глаз.</w:t>
      </w:r>
    </w:p>
    <w:p>
      <w:pPr>
        <w:spacing w:after="80"/>
      </w:pPr>
      <w:r>
        <w:t xml:space="preserve">H330 Смертельно при вдыхании.</w:t>
      </w:r>
    </w:p>
    <w:p>
      <w:pPr>
        <w:spacing w:after="80"/>
      </w:pPr>
      <w:r>
        <w:t xml:space="preserve">H400 Очень токсично для водных организмов.</w:t>
      </w:r>
    </w:p>
    <w:p>
      <w:pPr>
        <w:spacing w:after="80"/>
      </w:pPr>
      <w: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t xml:space="preserve">EUH071 Вызывает коррозию дыхательных путей.</w:t>
      </w:r>
    </w:p>
    <w:p>
      <w:pPr>
        <w:spacing w:after="100" w:before="100"/>
      </w:pPr>
    </w:p>
    <w:p>
      <w:pPr>
        <w:pBdr>
          <w:left w:val="single" w:color="1F3864" w:sz="18" w:space="8"/>
        </w:pBdr>
        <w:spacing w:after="150" w:before="100"/>
        <w:ind w:left="10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80"/>
      </w:pPr>
      <w:r>
        <w:rPr>
          <w:b/>
          <w:bCs/>
        </w:rPr>
        <w:t xml:space="preserve">Рекомендуемое ограничение использования </w:t>
      </w:r>
      <w:r>
        <w:t xml:space="preserve">Только для профессионального использования.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методе расчёта с использованием данных о веществах согласно Регламенту (ЕС) № 1272/2008.</w:t>
      </w:r>
    </w:p>
    <w:p>
      <w:pPr>
        <w:spacing w:after="80"/>
      </w:pPr>
      <w:r>
        <w:rPr>
          <w:b/>
          <w:bCs/>
        </w:rPr>
        <w:t xml:space="preserve">Контакт: </w:t>
      </w:r>
      <w:r>
        <w:t xml:space="preserve">E-Mail: msds.info@pallmann.net</w:t>
      </w:r>
    </w:p>
    <w:p>
      <w:pPr>
        <w:spacing w:after="60" w:before="120"/>
      </w:pPr>
      <w:r>
        <w:rPr>
          <w:b/>
          <w:bCs/>
        </w:rPr>
        <w:t xml:space="preserve">Сокращения и аббревиатуры:</w:t>
      </w:r>
    </w:p>
    <w:p>
      <w:pPr>
        <w:spacing w:after="80"/>
      </w:pPr>
      <w:r>
        <w:t xml:space="preserve">RID: Правила международной перевозки опасных грузов по железным дорогам</w:t>
      </w:r>
    </w:p>
    <w:p>
      <w:pPr>
        <w:spacing w:after="80"/>
      </w:pPr>
      <w:r>
        <w:t xml:space="preserve">ICAO: Международная организация гражданской авиации</w:t>
      </w:r>
    </w:p>
    <w:p>
      <w:pPr>
        <w:spacing w:after="80"/>
      </w:pPr>
      <w:r>
        <w:t xml:space="preserve">ADR: Европейское соглашение о международной дорожной перевозке опасных грузов</w:t>
      </w:r>
    </w:p>
    <w:p>
      <w:pPr>
        <w:spacing w:after="80"/>
      </w:pPr>
      <w:r>
        <w:t xml:space="preserve">IMDG: Международный кодекс морской перевозки опасных грузов</w:t>
      </w:r>
    </w:p>
    <w:p>
      <w:pPr>
        <w:spacing w:after="80"/>
      </w:pPr>
      <w:r>
        <w:t xml:space="preserve">IATA: Международная ассоциация воздушного транспорта</w:t>
      </w:r>
    </w:p>
    <w:p>
      <w:pPr>
        <w:spacing w:after="80"/>
      </w:pPr>
      <w:r>
        <w:t xml:space="preserve">GHS: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t xml:space="preserve">EINECS: Европейский перечень существующих коммерческих химических веществ</w:t>
      </w:r>
    </w:p>
    <w:p>
      <w:pPr>
        <w:spacing w:after="80"/>
      </w:pPr>
      <w:r>
        <w:t xml:space="preserve">ELINCS: Европейский список зарегистрированных химических веществ</w:t>
      </w:r>
    </w:p>
    <w:p>
      <w:pPr>
        <w:spacing w:after="80"/>
      </w:pPr>
      <w:r>
        <w:t xml:space="preserve">CAS: Служба химических рефератов (подразделение Американского химического общества)</w:t>
      </w:r>
    </w:p>
    <w:p>
      <w:pPr>
        <w:spacing w:after="80"/>
      </w:pPr>
      <w:r>
        <w:t xml:space="preserve">СБТ: стойкое, биоаккумулятивное и токсичное вещество</w:t>
      </w:r>
    </w:p>
    <w:p>
      <w:pPr>
        <w:spacing w:after="80"/>
      </w:pPr>
      <w:r>
        <w:t xml:space="preserve">оСБсБ: очень стойкое и очень биоаккумулятивное вещество</w:t>
      </w:r>
    </w:p>
    <w:p>
      <w:pPr>
        <w:spacing w:after="80"/>
      </w:pPr>
      <w:r>
        <w:t xml:space="preserve">Acute Tox. 3: Острая токсичность — Категория 3</w:t>
      </w:r>
    </w:p>
    <w:p>
      <w:pPr>
        <w:spacing w:after="80"/>
      </w:pPr>
      <w:r>
        <w:t xml:space="preserve">Acute Tox. 4: Острая токсичность — Категория 4</w:t>
      </w:r>
    </w:p>
    <w:p>
      <w:pPr>
        <w:spacing w:after="80"/>
      </w:pPr>
      <w:r>
        <w:t xml:space="preserve">Acute Tox. 2: Острая токсичность — Категория 2</w:t>
      </w:r>
    </w:p>
    <w:p>
      <w:pPr>
        <w:spacing w:after="80"/>
      </w:pPr>
      <w:r>
        <w:t xml:space="preserve">Skin Corr. 1C: Коррозия/раздражение кожи — Категория 1C</w:t>
      </w:r>
    </w:p>
    <w:p>
      <w:pPr>
        <w:spacing w:after="80"/>
      </w:pPr>
      <w:r>
        <w:t xml:space="preserve">Skin Irrit. 2: Коррозия/раздражение кожи — Категория 2</w:t>
      </w:r>
    </w:p>
    <w:p>
      <w:pPr>
        <w:spacing w:after="80"/>
      </w:pPr>
      <w:r>
        <w:t xml:space="preserve">Eye Dam. 1: Серьёзное повреждение/раздражение глаз — Категория 1</w:t>
      </w:r>
    </w:p>
    <w:p>
      <w:pPr>
        <w:spacing w:after="80"/>
      </w:pPr>
      <w:r>
        <w:t xml:space="preserve">Skin Sens. 1: Сенсибилизация кожи — Категория 1</w:t>
      </w:r>
    </w:p>
    <w:p>
      <w:pPr>
        <w:spacing w:after="80"/>
      </w:pPr>
      <w:r>
        <w:t xml:space="preserve">Skin Sens. 1A: Сенсибилизация кожи — Категория 1A</w:t>
      </w:r>
    </w:p>
    <w:p>
      <w:pPr>
        <w:spacing w:after="80"/>
      </w:pPr>
      <w:r>
        <w:t xml:space="preserve">Aquatic Acute 1: Опасность для водной среды - острая водная опасность — Категория 1</w:t>
      </w:r>
    </w:p>
    <w:p>
      <w:pPr>
        <w:spacing w:after="80"/>
      </w:pPr>
      <w:r>
        <w:t xml:space="preserve">Aquatic Chronic 1: Опасность для водной среды - долгосрочная водная опасность — Категория 1</w:t>
      </w:r>
    </w:p>
    <w:sectPr>
      <w:pgSz w:w="11907" w:h="16840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2026-07-20T16:25:13.147Z</dcterms:created>
  <dcterms:modified xsi:type="dcterms:W3CDTF">2026-07-20T16:25:13.148Z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