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  <w:sz w:val="22"/>
          <w:szCs w:val="22"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300"/>
        <w:jc w:val="center"/>
      </w:pPr>
      <w:r>
        <w:rPr>
          <w:b/>
          <w:bCs/>
          <w:sz w:val="26"/>
          <w:szCs w:val="26"/>
        </w:rPr>
        <w:t xml:space="preserve">PALL-X 98 Комп. A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1.1 Идентификатор продукта</w:t>
      </w:r>
    </w:p>
    <w:p>
      <w:pPr>
        <w:spacing w:after="80"/>
      </w:pPr>
      <w:r>
        <w:rPr>
          <w:b/>
          <w:bCs/>
        </w:rPr>
        <w:t xml:space="preserve">Торговое название: </w:t>
      </w:r>
      <w:r>
        <w:t xml:space="preserve">PALL-X 98 Комп. A</w:t>
      </w:r>
    </w:p>
    <w:p>
      <w:pPr>
        <w:spacing w:after="80"/>
      </w:pPr>
      <w:r>
        <w:rPr>
          <w:b/>
          <w:bCs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 </w:t>
      </w: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Сектор использования</w:t>
      </w:r>
    </w:p>
    <w:p>
      <w:pPr>
        <w:spacing w:after="80"/>
      </w:pPr>
      <w:r>
        <w:t xml:space="preserve">SU19 Строительные работы</w:t>
      </w:r>
    </w:p>
    <w:p>
      <w:pPr>
        <w:spacing w:after="80"/>
      </w:pPr>
      <w:r>
        <w:t xml:space="preserve">SU22 Профессиональное использование: общественная сфера (администрирование, образование, развлечения, услуги, ремесленники)</w:t>
      </w:r>
    </w:p>
    <w:p>
      <w:pPr>
        <w:spacing w:after="80"/>
      </w:pPr>
      <w:r>
        <w:t xml:space="preserve">Только для профессионального использования.</w:t>
      </w:r>
    </w:p>
    <w:p>
      <w:pPr>
        <w:spacing w:after="80"/>
      </w:pPr>
      <w:r>
        <w:rPr>
          <w:b/>
          <w:bCs/>
        </w:rPr>
        <w:t xml:space="preserve">Категория продукта </w:t>
      </w:r>
      <w:r>
        <w:t xml:space="preserve">PC9a Покрытия и краски, разбавители, средства для снятия краски</w:t>
      </w:r>
    </w:p>
    <w:p>
      <w:pPr>
        <w:spacing w:after="80"/>
      </w:pPr>
      <w:r>
        <w:rPr>
          <w:b/>
          <w:bCs/>
        </w:rPr>
        <w:t xml:space="preserve">Применение вещества/смеси </w:t>
      </w:r>
      <w:r>
        <w:t xml:space="preserve">Паркетный лак на водной основе, двухкомпонентный</w:t>
      </w:r>
    </w:p>
    <w:p>
      <w:pPr>
        <w:spacing w:after="60" w:before="120"/>
      </w:pPr>
      <w:r>
        <w:rPr>
          <w:b/>
          <w:bCs/>
        </w:rPr>
        <w:t xml:space="preserve">1.3 Данные поставщика паспорта безопасности</w:t>
      </w:r>
    </w:p>
    <w:p>
      <w:pPr>
        <w:spacing w:after="80"/>
      </w:pPr>
      <w:r>
        <w:rPr>
          <w:b/>
          <w:bCs/>
        </w:rPr>
        <w:t xml:space="preserve">Производитель/Поставщик: </w:t>
      </w:r>
      <w:r>
        <w:t xml:space="preserve"/>
      </w:r>
    </w:p>
    <w:p>
      <w:pPr>
        <w:spacing w:after="80"/>
      </w:pPr>
      <w:r>
        <w:t xml:space="preserve">PALLMANN GmbH</w:t>
      </w:r>
    </w:p>
    <w:p>
      <w:pPr>
        <w:spacing w:after="80"/>
      </w:pPr>
      <w:r>
        <w:t xml:space="preserve">Im Kreuz 6</w:t>
      </w:r>
    </w:p>
    <w:p>
      <w:pPr>
        <w:spacing w:after="80"/>
      </w:pPr>
      <w:r>
        <w:t xml:space="preserve">D-97076 Würzburg</w:t>
      </w:r>
    </w:p>
    <w:p>
      <w:pPr>
        <w:spacing w:after="80"/>
      </w:pPr>
      <w:r>
        <w:t xml:space="preserve">Тел.: +49 931-27964-0</w:t>
      </w:r>
    </w:p>
    <w:p>
      <w:pPr>
        <w:spacing w:after="80"/>
      </w:pPr>
      <w:r>
        <w:t xml:space="preserve">Факс: +49 931-27964-50</w:t>
      </w:r>
    </w:p>
    <w:p>
      <w:pPr>
        <w:spacing w:after="80"/>
      </w:pPr>
      <w:r>
        <w:rPr>
          <w:b/>
          <w:bCs/>
        </w:rPr>
        <w:t xml:space="preserve">Дополнительную информацию можно получить: </w:t>
      </w:r>
      <w:r>
        <w:t xml:space="preserve"/>
      </w:r>
    </w:p>
    <w:p>
      <w:pPr>
        <w:spacing w:after="80"/>
      </w:pPr>
      <w:r>
        <w:t xml:space="preserve">Products Development Lab</w:t>
      </w:r>
    </w:p>
    <w:p>
      <w:pPr>
        <w:spacing w:after="80"/>
      </w:pPr>
      <w:r>
        <w:t xml:space="preserve">E-Mail: msds.info@pallmann.net</w:t>
      </w:r>
    </w:p>
    <w:p>
      <w:pPr>
        <w:spacing w:after="60" w:before="120"/>
      </w:pPr>
      <w:r>
        <w:rPr>
          <w:b/>
          <w:bCs/>
        </w:rPr>
        <w:t xml:space="preserve">1.4 Телефон экстренной связи:</w:t>
      </w:r>
    </w:p>
    <w:p>
      <w:pPr>
        <w:spacing w:after="80"/>
      </w:pPr>
      <w:r>
        <w:t xml:space="preserve">Медицинские экстренные случаи (GIZ-Nord Poisons Center): +49 551 19240</w:t>
      </w:r>
    </w:p>
    <w:p>
      <w:pPr>
        <w:spacing w:after="80"/>
      </w:pPr>
      <w:r>
        <w:t xml:space="preserve">Транспортные экстренные случаи: +49 621 60 43 333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2.1 Классификация вещества или смеси</w:t>
      </w:r>
    </w:p>
    <w:p>
      <w:pPr>
        <w:spacing w:after="80"/>
      </w:pPr>
      <w:r>
        <w:rPr>
          <w:b/>
          <w:bCs/>
        </w:rPr>
        <w:t xml:space="preserve">Классификация согласно Регламенту (ЕС) № 1272/2008 </w:t>
      </w:r>
      <w:r>
        <w:t xml:space="preserve"/>
      </w:r>
    </w:p>
    <w:p>
      <w:pPr>
        <w:spacing w:after="80"/>
      </w:pPr>
      <w:r>
        <w:t xml:space="preserve">Продукт не классифицируется согласно регламенту GB CLP (Великобритания).</w:t>
      </w:r>
    </w:p>
    <w:p>
      <w:pPr>
        <w:spacing w:after="80"/>
      </w:pPr>
      <w:r>
        <w:rPr>
          <w:b/>
          <w:bCs/>
        </w:rPr>
        <w:t xml:space="preserve">Дополнительная информация: </w:t>
      </w:r>
      <w:r>
        <w:t xml:space="preserve">Также см. паспорт безопасности компонента B.</w:t>
      </w:r>
    </w:p>
    <w:p>
      <w:pPr>
        <w:spacing w:after="60" w:before="120"/>
      </w:pPr>
      <w:r>
        <w:rPr>
          <w:b/>
          <w:bCs/>
        </w:rPr>
        <w:t xml:space="preserve">2.2 Элементы маркировки</w:t>
      </w:r>
    </w:p>
    <w:p>
      <w:pPr>
        <w:spacing w:after="80"/>
      </w:pPr>
      <w:r>
        <w:rPr>
          <w:b/>
          <w:bCs/>
        </w:rPr>
        <w:t xml:space="preserve">Маркировка согласно Регламенту (ЕС) № 1272/2008: </w:t>
      </w:r>
      <w:r>
        <w:t xml:space="preserve">Не применяется (Void)</w:t>
      </w:r>
    </w:p>
    <w:p>
      <w:pPr>
        <w:spacing w:after="80"/>
      </w:pPr>
      <w:r>
        <w:rPr>
          <w:b/>
          <w:bCs/>
        </w:rPr>
        <w:t xml:space="preserve">Пиктограммы опасности: </w:t>
      </w:r>
      <w:r>
        <w:t xml:space="preserve">Не применяется (Void)</w:t>
      </w:r>
    </w:p>
    <w:p>
      <w:pPr>
        <w:spacing w:after="80"/>
      </w:pPr>
      <w:r>
        <w:rPr>
          <w:b/>
          <w:bCs/>
        </w:rPr>
        <w:t xml:space="preserve">Сигнальное слово: </w:t>
      </w:r>
      <w:r>
        <w:t xml:space="preserve">Не применяется (Void)</w:t>
      </w:r>
    </w:p>
    <w:p>
      <w:pPr>
        <w:spacing w:after="80"/>
      </w:pPr>
      <w:r>
        <w:rPr>
          <w:b/>
          <w:bCs/>
        </w:rPr>
        <w:t xml:space="preserve">Указания на опасность: </w:t>
      </w:r>
      <w:r>
        <w:t xml:space="preserve">Не применяется (Void)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информация:</w:t>
      </w:r>
    </w:p>
    <w:p>
      <w:pPr>
        <w:spacing w:after="80"/>
      </w:pPr>
      <w:r>
        <w:t xml:space="preserve">EUH208 Содержит 1,2-бензизотиазол-3(2H)-он, смесь: 5-хлор-2-метил-4-изотиазолин-3-он и 2-метил-2H-изотиазол-3-он (3:1). Может вызывать аллергическую реакцию.</w:t>
      </w:r>
    </w:p>
    <w:p>
      <w:pPr>
        <w:spacing w:after="60" w:before="120"/>
      </w:pPr>
      <w:r>
        <w:rPr>
          <w:b/>
          <w:bCs/>
        </w:rPr>
        <w:t xml:space="preserve">2.3 Прочие опасности</w:t>
      </w:r>
    </w:p>
    <w:p>
      <w:pPr>
        <w:spacing w:after="60" w:before="120"/>
      </w:pPr>
      <w:r>
        <w:rPr>
          <w:b/>
          <w:bCs/>
        </w:rPr>
        <w:t xml:space="preserve">Результаты оценки СБТ и оСБсБ</w:t>
      </w:r>
    </w:p>
    <w:p>
      <w:pPr>
        <w:spacing w:after="80"/>
      </w:pPr>
      <w:r>
        <w:rPr>
          <w:b/>
          <w:bCs/>
        </w:rPr>
        <w:t xml:space="preserve">СБТ: </w:t>
      </w:r>
      <w:r>
        <w:t xml:space="preserve">Данное вещество/смесь не содержит компонентов, которые могут считаться стойкими, биоаккумулятивными и токсичными (СБТ).</w:t>
      </w:r>
    </w:p>
    <w:p>
      <w:pPr>
        <w:spacing w:after="80"/>
      </w:pPr>
      <w:r>
        <w:rPr>
          <w:b/>
          <w:bCs/>
        </w:rPr>
        <w:t xml:space="preserve">оСБсБ: </w:t>
      </w:r>
      <w:r>
        <w:t xml:space="preserve">Данное вещество/смесь не содержит компонентов, которые могут считаться очень стойкими и очень биоаккумулятивными (оСБсБ), в концентрациях 0,1%.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3.2 Смеси</w:t>
      </w:r>
    </w:p>
    <w:p>
      <w:pPr>
        <w:spacing w:after="80"/>
      </w:pPr>
      <w:r>
        <w:rPr>
          <w:b/>
          <w:bCs/>
        </w:rPr>
        <w:t xml:space="preserve">Описание: </w:t>
      </w:r>
      <w:r>
        <w:t xml:space="preserve">Смесь перечисленных ниже веществ с неопасными добавками.</w:t>
      </w:r>
    </w:p>
    <w:p>
      <w:pPr>
        <w:spacing w:after="60" w:before="60"/>
      </w:pPr>
    </w:p>
    <w:p>
      <w:pPr>
        <w:spacing w:after="60" w:before="120"/>
      </w:pPr>
      <w:r>
        <w:rPr>
          <w:b/>
          <w:bCs/>
        </w:rPr>
        <w:t xml:space="preserve">Опасные компоненты:</w:t>
      </w:r>
    </w:p>
    <w:tbl>
      <w:tblPr>
        <w:tblW w:type="dxa" w:w="963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5200"/>
        <w:gridCol w:w="2039"/>
      </w:tblGrid>
      <w:tr>
        <w:trPr>
          <w:tblHeader/>
        </w:trPr>
        <w:tc>
          <w:tcPr>
            <w:tcW w:type="dxa" w:w="24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</w:rPr>
              <w:t xml:space="preserve">Идентификатор</w:t>
            </w:r>
          </w:p>
        </w:tc>
        <w:tc>
          <w:tcPr>
            <w:tcW w:type="dxa" w:w="5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</w:rPr>
              <w:t xml:space="preserve">Наименование / классификация</w:t>
            </w:r>
          </w:p>
        </w:tc>
        <w:tc>
          <w:tcPr>
            <w:tcW w:type="dxa" w:w="20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</w:rPr>
              <w:t xml:space="preserve">Концентрация</w:t>
            </w:r>
          </w:p>
        </w:tc>
      </w:tr>
      <w:tr>
        <w:tc>
          <w:tcPr>
            <w:tcW w:type="dxa" w:w="24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CAS: 2634-33-5
EINECS: 220-120-9</w:t>
            </w:r>
          </w:p>
        </w:tc>
        <w:tc>
          <w:tcPr>
            <w:tcW w:type="dxa" w:w="5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1,2-бензизотиазол-3(2H)-он
Acute Tox. 2, H330; Eye Dam. 1, H318; Aquatic Acute 1, H400; Aquatic Chronic 1, H410; Acute Tox. 4, H302; Skin Irrit. 2, H315; Skin Sens. 1A, H317
ATE: LD50 перорально: 450 мг/кг; LC50/4ч ингаляционно: 0,21 мг/л
Специфический предел концентрации: Skin Sens. 1A; H317: C ≥ 0,036 %</w:t>
            </w:r>
          </w:p>
        </w:tc>
        <w:tc>
          <w:tcPr>
            <w:tcW w:type="dxa" w:w="20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&lt;0,036%</w:t>
            </w:r>
          </w:p>
        </w:tc>
      </w:tr>
      <w:tr>
        <w:tc>
          <w:tcPr>
            <w:tcW w:type="dxa" w:w="24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CAS: 55965-84-9</w:t>
            </w:r>
          </w:p>
        </w:tc>
        <w:tc>
          <w:tcPr>
            <w:tcW w:type="dxa" w:w="5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Смесь: 5-хлор-2-метил-4-изотиазолин-3-он и 2-метил-2H-изотиазол-3-он (3:1)
Acute Tox. 3, H301; Acute Tox. 2, H310; Acute Tox. 2, H330; Skin Corr. 1C, H314; Eye Dam. 1, H318; Aquatic Acute 1, H400 (M=100); Aquatic Chronic 1, H410 (M=100); Skin Sens. 1A, H317, EUH071
Специфические пределы концентрации: Skin Corr. 1C; H314: C ≥ 0,6 %; Skin Irrit. 2; H315: 0,06 % ≤ C &lt; 0,6 %; Eye Dam. 1; H318: C ≥ 0,6 %; Eye Irrit. 2; H319: 0,06 % ≤ C &lt; 0,6 %; Skin Sens. 1A; H317: C ≥ 0,0015 %</w:t>
            </w:r>
          </w:p>
        </w:tc>
        <w:tc>
          <w:tcPr>
            <w:tcW w:type="dxa" w:w="20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&lt;0,0015%</w:t>
            </w:r>
          </w:p>
        </w:tc>
      </w:tr>
    </w:tbl>
    <w:p>
      <w:pPr>
        <w:spacing w:after="100" w:before="100"/>
      </w:pPr>
    </w:p>
    <w:p>
      <w:pPr>
        <w:pBdr>
          <w:left w:val="single" w:color="1F3864" w:sz="18" w:space="8"/>
        </w:pBdr>
        <w:spacing w:after="150" w:before="100"/>
        <w:ind w:left="10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80"/>
      </w:pPr>
      <w:r>
        <w:rPr>
          <w:b/>
          <w:bCs/>
        </w:rPr>
        <w:t xml:space="preserve">Дополнительная информация: </w:t>
      </w:r>
      <w:r>
        <w:t xml:space="preserve">Формулировки перечисленных указаний на опасность приведены в разделе 16.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4.1 Описание мер первой помощи</w:t>
      </w:r>
    </w:p>
    <w:p>
      <w:pPr>
        <w:spacing w:after="60" w:before="120"/>
      </w:pPr>
      <w:r>
        <w:rPr>
          <w:b/>
          <w:bCs/>
        </w:rPr>
        <w:t xml:space="preserve">Общая информация:</w:t>
      </w:r>
    </w:p>
    <w:p>
      <w:pPr>
        <w:spacing w:after="80"/>
      </w:pPr>
      <w:r>
        <w:t xml:space="preserve">Особые меры не требуются.</w:t>
      </w:r>
    </w:p>
    <w:p>
      <w:pPr>
        <w:spacing w:after="80"/>
      </w:pPr>
      <w:r>
        <w:t xml:space="preserve">Однако также см. паспорт безопасности компонента B.</w:t>
      </w:r>
    </w:p>
    <w:p>
      <w:pPr>
        <w:spacing w:after="80"/>
      </w:pPr>
      <w:r>
        <w:rPr>
          <w:b/>
          <w:bCs/>
        </w:rPr>
        <w:t xml:space="preserve">При вдыхании: </w:t>
      </w:r>
      <w:r>
        <w:t xml:space="preserve">Обеспечить приток свежего воздуха; при жалобах обратиться к врачу.</w:t>
      </w:r>
    </w:p>
    <w:p>
      <w:pPr>
        <w:spacing w:after="80"/>
      </w:pPr>
      <w:r>
        <w:rPr>
          <w:b/>
          <w:bCs/>
        </w:rPr>
        <w:t xml:space="preserve">При контакте с кожей: </w:t>
      </w:r>
      <w:r>
        <w:t xml:space="preserve">Немедленно промыть водой с мылом и тщательно ополоснуть.</w:t>
      </w:r>
    </w:p>
    <w:p>
      <w:pPr>
        <w:spacing w:after="80"/>
      </w:pPr>
      <w:r>
        <w:rPr>
          <w:b/>
          <w:bCs/>
        </w:rPr>
        <w:t xml:space="preserve">При контакте с глазами: </w:t>
      </w:r>
      <w:r>
        <w:t xml:space="preserve">Промывать открытый глаз в течение нескольких минут под проточной водой. При сохранении симптомов обратиться к врачу.</w:t>
      </w:r>
    </w:p>
    <w:p>
      <w:pPr>
        <w:spacing w:after="80"/>
      </w:pPr>
      <w:r>
        <w:rPr>
          <w:b/>
          <w:bCs/>
        </w:rPr>
        <w:t xml:space="preserve">При проглатывании: </w:t>
      </w:r>
      <w:r>
        <w:t xml:space="preserve">Не вызывать рвоту; немедленно обратиться за медицинской помощью.</w:t>
      </w:r>
    </w:p>
    <w:p>
      <w:pPr>
        <w:spacing w:after="80"/>
      </w:pPr>
      <w:r>
        <w:rPr>
          <w:b/>
          <w:bCs/>
        </w:rPr>
        <w:t xml:space="preserve">4.2 Наиболее важные симптомы и эффекты, острые и отсроченные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4.3 Указание на необходимость немедленной медицинской помощи и специального лечения </w:t>
      </w:r>
      <w:r>
        <w:t xml:space="preserve">Также см. паспорт безопасности компонента B.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5.1 Средства пожаротушения</w:t>
      </w:r>
    </w:p>
    <w:p>
      <w:pPr>
        <w:spacing w:after="80"/>
      </w:pPr>
      <w:r>
        <w:rPr>
          <w:b/>
          <w:bCs/>
        </w:rPr>
        <w:t xml:space="preserve">Подходящие средства пожаротушения: </w:t>
      </w:r>
      <w:r>
        <w:t xml:space="preserve">CO₂, порошок или водяной распылитель. При крупных пожарах использовать водяной распылитель или пену, стойкую к спирту.</w:t>
      </w:r>
    </w:p>
    <w:p>
      <w:pPr>
        <w:spacing w:after="80"/>
      </w:pPr>
      <w:r>
        <w:rPr>
          <w:b/>
          <w:bCs/>
        </w:rPr>
        <w:t xml:space="preserve">Непригодные по соображениям безопасности средства пожаротушения: </w:t>
      </w:r>
      <w:r>
        <w:t xml:space="preserve">Вода в сплошной струе</w:t>
      </w:r>
    </w:p>
    <w:p>
      <w:pPr>
        <w:spacing w:after="80"/>
      </w:pPr>
      <w:r>
        <w:rPr>
          <w:b/>
          <w:bCs/>
        </w:rPr>
        <w:t xml:space="preserve">5.2 Особые опасности, возникающие в связи с веществом или смесью </w:t>
      </w: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5.3 Рекомендации для пожарных</w:t>
      </w:r>
    </w:p>
    <w:p>
      <w:pPr>
        <w:spacing w:after="60" w:before="120"/>
      </w:pPr>
      <w:r>
        <w:rPr>
          <w:b/>
          <w:bCs/>
        </w:rPr>
        <w:t xml:space="preserve">Средства защиты:</w:t>
      </w:r>
    </w:p>
    <w:p>
      <w:pPr>
        <w:spacing w:after="80"/>
      </w:pPr>
      <w:r>
        <w:t xml:space="preserve">Особые меры не требуются.</w:t>
      </w:r>
    </w:p>
    <w:p>
      <w:pPr>
        <w:spacing w:after="80"/>
      </w:pPr>
      <w:r>
        <w:t xml:space="preserve">Однако также см. паспорт безопасности компонента B.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80"/>
      </w:pPr>
      <w:r>
        <w:t xml:space="preserve">Использовать средства индивидуальной защиты. Не допускать посторонних лиц.</w:t>
      </w:r>
    </w:p>
    <w:p>
      <w:pPr>
        <w:spacing w:after="80"/>
      </w:pPr>
      <w:r>
        <w:t xml:space="preserve">Обеспечить достаточную вентиляцию</w:t>
      </w:r>
    </w:p>
    <w:p>
      <w:pPr>
        <w:spacing w:after="80"/>
      </w:pPr>
      <w:r>
        <w:rPr>
          <w:b/>
          <w:bCs/>
        </w:rPr>
        <w:t xml:space="preserve">6.2 Меры предосторожности в отношении окружающей среды: </w:t>
      </w:r>
      <w:r>
        <w:t xml:space="preserve">Не допускать попадания в канализацию/поверхностные или грунтовые воды.</w:t>
      </w:r>
    </w:p>
    <w:p>
      <w:pPr>
        <w:spacing w:after="60" w:before="120"/>
      </w:pPr>
      <w:r>
        <w:rPr>
          <w:b/>
          <w:bCs/>
        </w:rPr>
        <w:t xml:space="preserve">6.3 Методы и материалы для локализации и очистки</w:t>
      </w:r>
    </w:p>
    <w:p>
      <w:pPr>
        <w:spacing w:after="80"/>
      </w:pPr>
      <w:r>
        <w:t xml:space="preserve">Впитывать жидкость связывающим материалом (песок, диатомит, кислотосвязывающие вещества, универсальные связующие материалы, опилки).</w:t>
      </w:r>
    </w:p>
    <w:p>
      <w:pPr>
        <w:spacing w:after="80"/>
      </w:pPr>
      <w:r>
        <w:t xml:space="preserve">Утилизировать загрязнённый материал как отходы согласно разделу 13.</w:t>
      </w:r>
    </w:p>
    <w:p>
      <w:pPr>
        <w:spacing w:after="60" w:before="120"/>
      </w:pPr>
      <w:r>
        <w:rPr>
          <w:b/>
          <w:bCs/>
        </w:rPr>
        <w:t xml:space="preserve">6.4 Ссылка на другие разделы</w:t>
      </w:r>
    </w:p>
    <w:p>
      <w:pPr>
        <w:spacing w:after="80"/>
      </w:pPr>
      <w:r>
        <w:t xml:space="preserve">См. раздел 7 для информации по безопасному обращению.</w:t>
      </w:r>
    </w:p>
    <w:p>
      <w:pPr>
        <w:spacing w:after="80"/>
      </w:pPr>
      <w:r>
        <w:t xml:space="preserve">См. раздел 8 для информации о средствах индивидуальной защиты.</w:t>
      </w:r>
    </w:p>
    <w:p>
      <w:pPr>
        <w:spacing w:after="80"/>
      </w:pPr>
      <w:r>
        <w:t xml:space="preserve">См. раздел 13 для информации по утилизации.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7.1 Меры предосторожности для безопасного обращения</w:t>
      </w:r>
    </w:p>
    <w:p>
      <w:pPr>
        <w:spacing w:after="80"/>
      </w:pPr>
      <w:r>
        <w:t xml:space="preserve">Носить подходящую защитную одежду, перчатки и средства защиты глаз/лица.</w:t>
      </w:r>
    </w:p>
    <w:p>
      <w:pPr>
        <w:spacing w:after="80"/>
      </w:pPr>
      <w:r>
        <w:t xml:space="preserve">Немедленно снимать всю загрязнённую одежду</w:t>
      </w:r>
    </w:p>
    <w:p>
      <w:pPr>
        <w:spacing w:after="80"/>
      </w:pPr>
      <w:r>
        <w:t xml:space="preserve">Избегать контакта с глазами и кожей.</w:t>
      </w:r>
    </w:p>
    <w:p>
      <w:pPr>
        <w:spacing w:after="80"/>
      </w:pPr>
      <w:r>
        <w:t xml:space="preserve">Не допускать контакта с пищевыми продуктами, напитками и кормами.</w:t>
      </w:r>
    </w:p>
    <w:p>
      <w:pPr>
        <w:spacing w:after="80"/>
      </w:pPr>
      <w:r>
        <w:t xml:space="preserve">Мыть руки перед перерывами и по окончании работы.</w:t>
      </w:r>
    </w:p>
    <w:p>
      <w:pPr>
        <w:spacing w:after="80"/>
      </w:pPr>
      <w:r>
        <w:t xml:space="preserve">Также см. паспорт безопасности компонента B.</w:t>
      </w:r>
    </w:p>
    <w:p>
      <w:pPr>
        <w:spacing w:after="80"/>
      </w:pPr>
      <w:r>
        <w:rPr>
          <w:b/>
          <w:bCs/>
        </w:rPr>
        <w:t xml:space="preserve">Информация о пожаро- и взрывозащите: </w:t>
      </w:r>
      <w:r>
        <w:t xml:space="preserve">Особые меры не требуются.</w:t>
      </w:r>
    </w:p>
    <w:p>
      <w:pPr>
        <w:spacing w:after="60" w:before="120"/>
      </w:pPr>
      <w:r>
        <w:rPr>
          <w:b/>
          <w:bCs/>
        </w:rPr>
        <w:t xml:space="preserve">7.2 Условия для безопасного хранения, включая несовместимости</w:t>
      </w:r>
    </w:p>
    <w:p>
      <w:pPr>
        <w:spacing w:after="60" w:before="120"/>
      </w:pPr>
      <w:r>
        <w:rPr>
          <w:b/>
          <w:bCs/>
        </w:rPr>
        <w:t xml:space="preserve">Хранение:</w:t>
      </w:r>
    </w:p>
    <w:p>
      <w:pPr>
        <w:spacing w:after="80"/>
      </w:pPr>
      <w:r>
        <w:rPr>
          <w:b/>
          <w:bCs/>
        </w:rPr>
        <w:t xml:space="preserve">Требования к складским помещениям и ёмкостям: </w:t>
      </w:r>
      <w:r>
        <w:t xml:space="preserve">Особых требований нет.</w:t>
      </w:r>
    </w:p>
    <w:p>
      <w:pPr>
        <w:spacing w:after="80"/>
      </w:pPr>
      <w:r>
        <w:rPr>
          <w:b/>
          <w:bCs/>
        </w:rPr>
        <w:t xml:space="preserve">Информация о хранении в одном общем складском помещении: </w:t>
      </w:r>
      <w:r>
        <w:t xml:space="preserve">Не требуется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 об условиях хранения:</w:t>
      </w:r>
    </w:p>
    <w:p>
      <w:pPr>
        <w:spacing w:after="80"/>
      </w:pPr>
      <w:r>
        <w:t xml:space="preserve">Держать ёмкость плотно закрытой.</w:t>
      </w:r>
    </w:p>
    <w:p>
      <w:pPr>
        <w:spacing w:after="80"/>
      </w:pPr>
      <w:r>
        <w:t xml:space="preserve">Беречь от мороза.</w:t>
      </w:r>
    </w:p>
    <w:p>
      <w:pPr>
        <w:spacing w:after="80"/>
      </w:pPr>
      <w:r>
        <w:t xml:space="preserve">Аккуратно закрывать открытые ёмкости и хранить в вертикальном положении для предотвращения утечки.</w:t>
      </w:r>
    </w:p>
    <w:p>
      <w:pPr>
        <w:spacing w:after="80"/>
      </w:pPr>
      <w:r>
        <w:rPr>
          <w:b/>
          <w:bCs/>
        </w:rPr>
        <w:t xml:space="preserve">7.3 Особые виды конечного использования </w:t>
      </w:r>
      <w:r>
        <w:t xml:space="preserve">Дополнительная значимая информация отсутствует.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8.1 Параметры контроля</w:t>
      </w:r>
    </w:p>
    <w:p>
      <w:pPr>
        <w:spacing w:after="80"/>
      </w:pPr>
      <w:r>
        <w:rPr>
          <w:b/>
          <w:bCs/>
        </w:rPr>
        <w:t xml:space="preserve">Компоненты с предельными значениями, подлежащие контролю на рабочем месте: </w:t>
      </w:r>
      <w:r>
        <w:t xml:space="preserve">Продукт не содержит значимых количеств материалов с критическими значениями, подлежащими контролю на рабочем месте.</w:t>
      </w:r>
    </w:p>
    <w:p>
      <w:pPr>
        <w:spacing w:after="60" w:before="120"/>
      </w:pPr>
      <w:r>
        <w:rPr>
          <w:b/>
          <w:bCs/>
        </w:rPr>
        <w:t xml:space="preserve">8.2 Контроль воздействия</w:t>
      </w:r>
    </w:p>
    <w:p>
      <w:pPr>
        <w:spacing w:after="80"/>
      </w:pPr>
      <w:r>
        <w:rPr>
          <w:b/>
          <w:bCs/>
        </w:rPr>
        <w:t xml:space="preserve">Соответствующие технические меры контроля </w:t>
      </w:r>
      <w:r>
        <w:t xml:space="preserve">Дополнительных данных нет; см. раздел 7.</w:t>
      </w:r>
    </w:p>
    <w:p>
      <w:pPr>
        <w:spacing w:after="60" w:before="120"/>
      </w:pPr>
      <w:r>
        <w:rPr>
          <w:b/>
          <w:bCs/>
        </w:rPr>
        <w:t xml:space="preserve">Общие защитные и гигиенические меры:</w:t>
      </w:r>
    </w:p>
    <w:p>
      <w:pPr>
        <w:spacing w:after="80"/>
      </w:pPr>
      <w:r>
        <w:t xml:space="preserve">Немедленно снимать всю загрязнённую одежду</w:t>
      </w:r>
    </w:p>
    <w:p>
      <w:pPr>
        <w:spacing w:after="80"/>
      </w:pPr>
      <w:r>
        <w:t xml:space="preserve">Избегать контакта с глазами и кожей.</w:t>
      </w:r>
    </w:p>
    <w:p>
      <w:pPr>
        <w:spacing w:after="80"/>
      </w:pPr>
      <w:r>
        <w:t xml:space="preserve">Носить подходящую защитную одежду, перчатки и средства защиты глаз/лица.</w:t>
      </w:r>
    </w:p>
    <w:p>
      <w:pPr>
        <w:spacing w:after="80"/>
      </w:pPr>
      <w:r>
        <w:t xml:space="preserve">Не допускать контакта с пищевыми продуктами, напитками и кормами.</w:t>
      </w:r>
    </w:p>
    <w:p>
      <w:pPr>
        <w:spacing w:after="80"/>
      </w:pPr>
      <w:r>
        <w:t xml:space="preserve">Мыть руки перед перерывами и по окончании работы.</w:t>
      </w:r>
    </w:p>
    <w:p>
      <w:pPr>
        <w:spacing w:after="80"/>
      </w:pPr>
      <w:r>
        <w:rPr>
          <w:b/>
          <w:bCs/>
        </w:rPr>
        <w:t xml:space="preserve">Защита органов дыхания: </w:t>
      </w:r>
      <w:r>
        <w:t xml:space="preserve">Не требуется. Обеспечить хорошую вентиляцию помещения во время обработки.</w:t>
      </w:r>
    </w:p>
    <w:p>
      <w:pPr>
        <w:spacing w:after="60" w:before="120"/>
      </w:pPr>
      <w:r>
        <w:rPr>
          <w:b/>
          <w:bCs/>
        </w:rPr>
        <w:t xml:space="preserve">Защита рук</w:t>
      </w:r>
    </w:p>
    <w:p>
      <w:pPr>
        <w:spacing w:after="80"/>
      </w:pPr>
      <w:r>
        <w:t xml:space="preserve">Использовать перчатки из стойкого материала (например, нитрила) — при необходимости трикотажные для улучшения комфорта (EN 374)</w:t>
      </w:r>
    </w:p>
    <w:p>
      <w:pPr>
        <w:spacing w:after="80"/>
      </w:pPr>
      <w:r>
        <w:t xml:space="preserve">Перчатки следует немедленно утилизировать в случае сильного загрязнения, попадания брызг после указанного максимального времени ношения, но не позднее конца смены.</w:t>
      </w:r>
    </w:p>
    <w:p>
      <w:pPr>
        <w:spacing w:after="80"/>
      </w:pPr>
      <w:r>
        <w:rPr>
          <w:b/>
          <w:bCs/>
        </w:rPr>
        <w:t xml:space="preserve">Материал перчаток: </w:t>
      </w:r>
      <w:r>
        <w:t xml:space="preserve">Бутилкаучук, БК
Нитриловый каучук, НБК
Рекомендуемая толщина материала: ≥ 0,5 мм</w:t>
      </w:r>
    </w:p>
    <w:p>
      <w:pPr>
        <w:spacing w:after="80"/>
      </w:pPr>
      <w:r>
        <w:rPr>
          <w:b/>
          <w:bCs/>
        </w:rPr>
        <w:t xml:space="preserve">Время проникновения материала перчаток: </w:t>
      </w:r>
      <w:r>
        <w:t xml:space="preserve">Точное время прорыва должно быть установлено производителем защитных перчаток и соблюдаться.</w:t>
      </w:r>
    </w:p>
    <w:p>
      <w:pPr>
        <w:spacing w:after="80"/>
      </w:pPr>
      <w:r>
        <w:rPr>
          <w:b/>
          <w:bCs/>
        </w:rPr>
        <w:t xml:space="preserve">Защита глаз/лица: </w:t>
      </w:r>
      <w:r>
        <w:t xml:space="preserve">Плотно прилегающие защитные очки (EN 166)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9.1 Информация об основных физических и химических свойствах</w:t>
      </w:r>
    </w:p>
    <w:p>
      <w:pPr>
        <w:spacing w:after="60" w:before="120"/>
      </w:pPr>
      <w:r>
        <w:rPr>
          <w:b/>
          <w:bCs/>
        </w:rPr>
        <w:t xml:space="preserve">Общая информация</w:t>
      </w:r>
    </w:p>
    <w:tbl>
      <w:tblPr>
        <w:tblW w:type="dxa" w:w="963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20"/>
        <w:gridCol w:w="4819"/>
      </w:tblGrid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Физическое состояние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Жидкость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Цвет: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Белый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Запах: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Слабый, характерный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Порог восприятия запаха: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Точка плавления/замерзания: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Точка кипения или начальная точка кипения и диапазон кипения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Воспламеняемость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применимо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Нижний предел взрываемости: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Верхний предел взрываемости: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Температура вспышки: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применимо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Температура самовоспламенения: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&gt;200 °C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Температура разложения: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pH при 20 °C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8,3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Кинематическая вязкость при 20 °C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24 с (DIN 53211/4)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Динамическая вязкость: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Растворимость в воде: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Полностью смешивается.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Коэффициент распределения н-октанол/вода (log)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Давление паров: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определено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Плотность при 20 °C: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1,02 г/см³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Относительная плотность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Плотность паров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9.2 Прочая информация</w:t>
      </w:r>
    </w:p>
    <w:p>
      <w:pPr>
        <w:spacing w:after="80"/>
      </w:pPr>
      <w:r>
        <w:rPr>
          <w:b/>
          <w:bCs/>
        </w:rPr>
        <w:t xml:space="preserve">Форма: </w:t>
      </w:r>
      <w:r>
        <w:t xml:space="preserve">Жидкая</w:t>
      </w:r>
    </w:p>
    <w:p>
      <w:pPr>
        <w:spacing w:after="80"/>
      </w:pPr>
      <w:r>
        <w:rPr>
          <w:b/>
          <w:bCs/>
        </w:rPr>
        <w:t xml:space="preserve">Температура воспламенения: </w:t>
      </w:r>
      <w:r>
        <w:t xml:space="preserve">Продукт не является самовоспламеняющимся.</w:t>
      </w:r>
    </w:p>
    <w:p>
      <w:pPr>
        <w:spacing w:after="80"/>
      </w:pPr>
      <w:r>
        <w:rPr>
          <w:b/>
          <w:bCs/>
        </w:rPr>
        <w:t xml:space="preserve">Взрывоопасные свойства: </w:t>
      </w:r>
      <w:r>
        <w:t xml:space="preserve">Продукт не представляет взрывоопасности.</w:t>
      </w:r>
    </w:p>
    <w:p>
      <w:pPr>
        <w:spacing w:after="80"/>
      </w:pPr>
      <w:r>
        <w:rPr>
          <w:b/>
          <w:bCs/>
        </w:rPr>
        <w:t xml:space="preserve">Скорость испарения </w:t>
      </w:r>
      <w:r>
        <w:t xml:space="preserve">Не определена</w:t>
      </w:r>
    </w:p>
    <w:p>
      <w:pPr>
        <w:spacing w:after="60" w:before="120"/>
      </w:pPr>
      <w:r>
        <w:rPr>
          <w:b/>
          <w:bCs/>
        </w:rPr>
        <w:t xml:space="preserve">Информация в отношении классов физической опасности</w:t>
      </w:r>
    </w:p>
    <w:p>
      <w:pPr>
        <w:spacing w:after="80"/>
      </w:pPr>
      <w:r>
        <w:rPr>
          <w:b/>
          <w:bCs/>
        </w:rPr>
        <w:t xml:space="preserve">Взрывчатые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Легковоспламеняющиеся газы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Аэрозоли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Окисляющие газы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Газы под давлением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Легковоспламеняющиеся жидкости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Легковоспламеняющиеся твёрдые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Саморазлагающиеся вещества и смеси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Пирофорные жидкости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Пирофорные твёрдые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Самонагревающиеся вещества и смеси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Вещества и смеси, выделяющие легковоспламеняющиеся газы при контакте с водой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Окисляющие жидкости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Окисляющие твёрдые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Органические пероксиды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Коррозионность в отношении металлов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Десенсибилизированные взрывчатые вещества </w:t>
      </w:r>
      <w:r>
        <w:t xml:space="preserve">Не применимо (Void)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10.1 Реакционная способность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10.2 Химическая стабильность </w:t>
      </w:r>
      <w:r>
        <w:t xml:space="preserve">Стабилен при нормальных условиях.</w:t>
      </w:r>
    </w:p>
    <w:p>
      <w:pPr>
        <w:spacing w:after="80"/>
      </w:pPr>
      <w:r>
        <w:rPr>
          <w:b/>
          <w:bCs/>
        </w:rPr>
        <w:t xml:space="preserve">Термическое разложение / условия, которых следует избегать: </w:t>
      </w:r>
      <w:r>
        <w:t xml:space="preserve">Разложения не происходит при использовании по назначению.</w:t>
      </w:r>
    </w:p>
    <w:p>
      <w:pPr>
        <w:spacing w:after="80"/>
      </w:pPr>
      <w:r>
        <w:rPr>
          <w:b/>
          <w:bCs/>
        </w:rPr>
        <w:t xml:space="preserve">10.3 Возможность опасных реакций </w:t>
      </w:r>
      <w:r>
        <w:t xml:space="preserve">Опасные реакции неизвестны.</w:t>
      </w:r>
    </w:p>
    <w:p>
      <w:pPr>
        <w:spacing w:after="80"/>
      </w:pPr>
      <w:r>
        <w:rPr>
          <w:b/>
          <w:bCs/>
        </w:rPr>
        <w:t xml:space="preserve">10.4 Условия, которых следует избегать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10.5 Несовместимые материалы: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10.6 Опасные продукты разложения: </w:t>
      </w:r>
      <w:r>
        <w:t xml:space="preserve">Опасные продукты разложения неизвестны.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11.1 Информация о классах опасности согласно Регламенту (ЕС) № 1272/2008</w:t>
      </w:r>
    </w:p>
    <w:p>
      <w:pPr>
        <w:spacing w:after="80"/>
      </w:pPr>
      <w:r>
        <w:rPr>
          <w:b/>
          <w:bCs/>
        </w:rPr>
        <w:t xml:space="preserve">Острая токсичность </w:t>
      </w:r>
      <w:r>
        <w:t xml:space="preserve">На основании имеющихся данных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Значения LD/LC50, значимые для классификации:</w:t>
      </w:r>
    </w:p>
    <w:p>
      <w:pPr>
        <w:spacing w:after="80"/>
      </w:pPr>
      <w:r>
        <w:t xml:space="preserve">CAS: 2634-33-5 1,2-бензизотиазол-3(2H)-он</w:t>
      </w:r>
    </w:p>
    <w:p>
      <w:pPr>
        <w:spacing w:after="80"/>
      </w:pPr>
      <w:r>
        <w:t xml:space="preserve">Оральная LD50 450 мг/кг (ATE)</w:t>
      </w:r>
    </w:p>
    <w:p>
      <w:pPr>
        <w:spacing w:after="80"/>
      </w:pPr>
      <w:r>
        <w:t xml:space="preserve">Ингаляционная LC50/4ч 0,21 мг/л (ATE)</w:t>
      </w:r>
    </w:p>
    <w:p>
      <w:pPr>
        <w:spacing w:after="60" w:before="120"/>
      </w:pPr>
      <w:r>
        <w:rPr>
          <w:b/>
          <w:bCs/>
        </w:rPr>
        <w:t xml:space="preserve">Первичное раздражающее действие:</w:t>
      </w:r>
    </w:p>
    <w:p>
      <w:pPr>
        <w:spacing w:after="80"/>
      </w:pPr>
      <w:r>
        <w:rPr>
          <w:b/>
          <w:bCs/>
        </w:rPr>
        <w:t xml:space="preserve">Коррозия/раздражение кожи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Серьёзное повреждение глаз/раздражение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Сенсибилизация дыхательных путей или кожи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Мутагенность зародышевых клеток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Канцерогенность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Репродуктивная токсичность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Специфическая токсичность на органы-мишени (однократное воздействие)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Специфическая токсичность на органы-мишени (повторное воздействие)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Опасность при аспирации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Дополнительная токсикологическая информация: </w:t>
      </w:r>
      <w:r>
        <w:t xml:space="preserve">Также см. паспорт безопасности компонента B.</w:t>
      </w:r>
    </w:p>
    <w:p>
      <w:pPr>
        <w:spacing w:after="60" w:before="120"/>
      </w:pPr>
      <w:r>
        <w:rPr>
          <w:b/>
          <w:bCs/>
        </w:rPr>
        <w:t xml:space="preserve">11.2 Информация о прочих опасностях</w:t>
      </w:r>
    </w:p>
    <w:p>
      <w:pPr>
        <w:spacing w:after="80"/>
      </w:pPr>
      <w:r>
        <w:rPr>
          <w:b/>
          <w:bCs/>
        </w:rPr>
        <w:t xml:space="preserve">Свойства эндокринных разрушителей </w:t>
      </w:r>
      <w:r>
        <w:t xml:space="preserve">Ни один из компонентов не включён в список.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12.1 Токсичность </w:t>
      </w:r>
      <w:r>
        <w:t xml:space="preserve"/>
      </w:r>
    </w:p>
    <w:p>
      <w:pPr>
        <w:spacing w:after="80"/>
      </w:pPr>
      <w:r>
        <w:rPr>
          <w:b/>
          <w:bCs/>
        </w:rPr>
        <w:t xml:space="preserve">Токсичность для водных организмов: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12.2 Стойкость и разлагаемость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12.3 Биоаккумулятивный потенциал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12.4 Мобильность в почве </w:t>
      </w: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12.5 Результаты оценки СБТ и оСБсБ</w:t>
      </w:r>
    </w:p>
    <w:p>
      <w:pPr>
        <w:spacing w:after="80"/>
      </w:pPr>
      <w:r>
        <w:rPr>
          <w:b/>
          <w:bCs/>
        </w:rPr>
        <w:t xml:space="preserve">СБТ: </w:t>
      </w:r>
      <w:r>
        <w:t xml:space="preserve">Данное вещество/смесь не содержит компонентов, которые могут считаться стойкими, биоаккумулятивными и токсичными (СБТ).</w:t>
      </w:r>
    </w:p>
    <w:p>
      <w:pPr>
        <w:spacing w:after="80"/>
      </w:pPr>
      <w:r>
        <w:rPr>
          <w:b/>
          <w:bCs/>
        </w:rPr>
        <w:t xml:space="preserve">оСБсБ: </w:t>
      </w:r>
      <w:r>
        <w:t xml:space="preserve">Данное вещество/смесь не содержит компонентов, которые могут считаться очень стойкими и очень биоаккумулятивными (оСБсБ), в концентрациях 0,1%.</w:t>
      </w:r>
    </w:p>
    <w:p>
      <w:pPr>
        <w:spacing w:after="60" w:before="120"/>
      </w:pPr>
      <w:r>
        <w:rPr>
          <w:b/>
          <w:bCs/>
        </w:rPr>
        <w:t xml:space="preserve">12.6 Свойства эндокринных разрушителей</w:t>
      </w:r>
    </w:p>
    <w:p>
      <w:pPr>
        <w:spacing w:after="80"/>
      </w:pPr>
      <w:r>
        <w:t xml:space="preserve">Продукт не содержит веществ, обладающих свойствами эндокринных разрушителей.</w:t>
      </w:r>
    </w:p>
    <w:p>
      <w:pPr>
        <w:spacing w:after="60" w:before="120"/>
      </w:pPr>
      <w:r>
        <w:rPr>
          <w:b/>
          <w:bCs/>
        </w:rPr>
        <w:t xml:space="preserve">12.7 Прочие неблагоприятные эффекты</w:t>
      </w:r>
    </w:p>
    <w:p>
      <w:pPr>
        <w:spacing w:after="60" w:before="120"/>
      </w:pPr>
      <w:r>
        <w:rPr>
          <w:b/>
          <w:bCs/>
        </w:rPr>
        <w:t xml:space="preserve">Дополнительная экологическая информация:</w:t>
      </w:r>
    </w:p>
    <w:p>
      <w:pPr>
        <w:spacing w:after="80"/>
      </w:pPr>
      <w:r>
        <w:rPr>
          <w:b/>
          <w:bCs/>
        </w:rPr>
        <w:t xml:space="preserve">Общие указания: </w:t>
      </w:r>
      <w:r>
        <w:t xml:space="preserve">Не допускать попадания продукта в грунтовые воды, водоёмы или канализацию.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13.1 Методы обработки отходов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Не допускать попадания продукта в канализацию.</w:t>
      </w:r>
    </w:p>
    <w:p>
      <w:pPr>
        <w:spacing w:after="80"/>
      </w:pPr>
      <w:r>
        <w:t xml:space="preserve">Небольшие количества впитывать связывающим материалом (песок, диатомит, кислотосвязывающие вещества, универсальные связующие материалы, опилки), дать затвердеть, затем утилизировать как строительные отходы.</w:t>
      </w:r>
    </w:p>
    <w:p>
      <w:pPr>
        <w:spacing w:after="80"/>
      </w:pPr>
      <w:r>
        <w:t xml:space="preserve">Большие количества утилизировать в соответствии с требованиями местных органов власти.</w:t>
      </w:r>
    </w:p>
    <w:p>
      <w:pPr>
        <w:spacing w:after="60" w:before="120"/>
      </w:pPr>
      <w:r>
        <w:rPr>
          <w:b/>
          <w:bCs/>
        </w:rPr>
        <w:t xml:space="preserve">Загрязнённая упаковка:</w:t>
      </w:r>
    </w:p>
    <w:p>
      <w:pPr>
        <w:spacing w:after="80"/>
      </w:pPr>
      <w:r>
        <w:rPr>
          <w:b/>
          <w:bCs/>
        </w:rPr>
        <w:t xml:space="preserve">Рекомендация: </w:t>
      </w:r>
      <w:r>
        <w:t xml:space="preserve">Полностью опорожнить загрязнённую упаковку. После тщательной и надлежащей очистки её можно сдать на переработку.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14.1 Номер ООН или идентификационный номер — ADR, ADN, IMDG, IATA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14.2 Надлежащее транспортное наименование ООН — ADR, ADN, IMDG, IATA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14.3 Класс(ы) транспортной опасности — ADR, ADN, IMDG, IATA, Класс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14.4 Группа упаковки — ADR, IMDG, IATA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14.5 Опасности для окружающей среды — Загрязнитель морской среды: </w:t>
      </w:r>
      <w:r>
        <w:t xml:space="preserve">Нет</w:t>
      </w:r>
    </w:p>
    <w:p>
      <w:pPr>
        <w:spacing w:after="80"/>
      </w:pPr>
      <w:r>
        <w:rPr>
          <w:b/>
          <w:bCs/>
        </w:rPr>
        <w:t xml:space="preserve">14.6 Особые меры предосторожности для пользователя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14.7 Морская перевозка навалом согласно документам ИМО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Транспорт/Дополнительная информация: </w:t>
      </w:r>
      <w:r>
        <w:t xml:space="preserve">Не является опасным согласно указанным выше характеристикам.</w:t>
      </w:r>
    </w:p>
    <w:p>
      <w:pPr>
        <w:spacing w:after="80"/>
      </w:pPr>
      <w:r>
        <w:rPr>
          <w:b/>
          <w:bCs/>
        </w:rPr>
        <w:t xml:space="preserve">«Модельные правила» ООН: </w:t>
      </w:r>
      <w:r>
        <w:t xml:space="preserve">Не применимо (Void)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15.1 Нормы безопасности, охраны здоровья и окружающей среды/законодательство, специфичное для вещества или смеси</w:t>
      </w:r>
    </w:p>
    <w:p>
      <w:pPr>
        <w:spacing w:after="60" w:before="120"/>
      </w:pPr>
      <w:r>
        <w:rPr>
          <w:b/>
          <w:bCs/>
        </w:rPr>
        <w:t xml:space="preserve">Закон о ядах (Poisons Act)</w:t>
      </w:r>
    </w:p>
    <w:p>
      <w:pPr>
        <w:spacing w:after="80"/>
      </w:pPr>
      <w:r>
        <w:rPr>
          <w:b/>
          <w:bCs/>
        </w:rPr>
        <w:t xml:space="preserve">Регулируемые прекурсоры взрывчатых веществ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Регулируемые яды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Прекурсоры взрывчатых веществ, подлежащие отчётности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Яды, подлежащие отчётности </w:t>
      </w:r>
      <w:r>
        <w:t xml:space="preserve">CAS: 7664-41-7 аммиак безводный — включён в список</w:t>
      </w:r>
    </w:p>
    <w:p>
      <w:pPr>
        <w:spacing w:after="60" w:before="120"/>
      </w:pPr>
      <w:r>
        <w:rPr>
          <w:b/>
          <w:bCs/>
        </w:rPr>
        <w:t xml:space="preserve">Директива 2012/18/ЕС</w:t>
      </w:r>
    </w:p>
    <w:p>
      <w:pPr>
        <w:spacing w:after="80"/>
      </w:pPr>
      <w:r>
        <w:rPr>
          <w:b/>
          <w:bCs/>
        </w:rPr>
        <w:t xml:space="preserve">Поименованные опасные вещества — ПРИЛОЖЕНИЕ I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15.2 Оценка химической безопасности: </w:t>
      </w:r>
      <w:r>
        <w:t xml:space="preserve">Оценка химической безопасности не проводилась.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t xml:space="preserve">Настоящая информация основана на наших текущих знаниях. Однако она не является гарантией каких-либо конкретных свойств продукта и не устанавливает юридически действительных договорных отношений.</w:t>
      </w:r>
    </w:p>
    <w:p>
      <w:pPr>
        <w:spacing w:after="80"/>
      </w:pPr>
      <w:r>
        <w:t xml:space="preserve">Данный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</w:rPr>
        <w:t xml:space="preserve">Значимые фразы</w:t>
      </w:r>
    </w:p>
    <w:p>
      <w:pPr>
        <w:spacing w:after="80"/>
      </w:pPr>
      <w:r>
        <w:t xml:space="preserve">H301 Токсично при проглатывании.</w:t>
      </w:r>
    </w:p>
    <w:p>
      <w:pPr>
        <w:spacing w:after="80"/>
      </w:pPr>
      <w:r>
        <w:t xml:space="preserve">H302 Вредно при проглатывании.</w:t>
      </w:r>
    </w:p>
    <w:p>
      <w:pPr>
        <w:spacing w:after="80"/>
      </w:pPr>
      <w:r>
        <w:t xml:space="preserve">H310 Смертельно при контакте с кожей.</w:t>
      </w:r>
    </w:p>
    <w:p>
      <w:pPr>
        <w:spacing w:after="80"/>
      </w:pPr>
      <w:r>
        <w:t xml:space="preserve">H314 Вызывает тяжёлые ожоги кожи и повреждения глаз.</w:t>
      </w:r>
    </w:p>
    <w:p>
      <w:pPr>
        <w:spacing w:after="80"/>
      </w:pPr>
      <w:r>
        <w:t xml:space="preserve">H315 Вызывает раздражение кожи.</w:t>
      </w:r>
    </w:p>
    <w:p>
      <w:pPr>
        <w:spacing w:after="80"/>
      </w:pPr>
      <w:r>
        <w:t xml:space="preserve">H317 Может вызывать аллергическую кожную реакцию.</w:t>
      </w:r>
    </w:p>
    <w:p>
      <w:pPr>
        <w:spacing w:after="80"/>
      </w:pPr>
      <w:r>
        <w:t xml:space="preserve">H318 Вызывает серьёзные повреждения глаз.</w:t>
      </w:r>
    </w:p>
    <w:p>
      <w:pPr>
        <w:spacing w:after="80"/>
      </w:pPr>
      <w:r>
        <w:t xml:space="preserve">H319 Вызывает серьёзное раздражение глаз.</w:t>
      </w:r>
    </w:p>
    <w:p>
      <w:pPr>
        <w:spacing w:after="80"/>
      </w:pPr>
      <w:r>
        <w:t xml:space="preserve">H330 Смертельно при вдыхании.</w:t>
      </w:r>
    </w:p>
    <w:p>
      <w:pPr>
        <w:spacing w:after="80"/>
      </w:pPr>
      <w:r>
        <w:t xml:space="preserve">H400 Очень токсично для водных организмов.</w:t>
      </w:r>
    </w:p>
    <w:p>
      <w:pPr>
        <w:spacing w:after="80"/>
      </w:pPr>
      <w:r>
        <w:t xml:space="preserve">H410 Очень токсично для водных организмов с долгосрочными последствиями.</w:t>
      </w:r>
    </w:p>
    <w:p>
      <w:pPr>
        <w:spacing w:after="80"/>
      </w:pPr>
      <w:r>
        <w:t xml:space="preserve">EUH071 Вызывает коррозию дыхательных путей.</w:t>
      </w:r>
    </w:p>
    <w:p>
      <w:pPr>
        <w:spacing w:after="100" w:before="100"/>
      </w:pPr>
    </w:p>
    <w:p>
      <w:pPr>
        <w:pBdr>
          <w:left w:val="single" w:color="1F3864" w:sz="18" w:space="8"/>
        </w:pBdr>
        <w:spacing w:after="150" w:before="100"/>
        <w:ind w:left="10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80"/>
      </w:pPr>
      <w:r>
        <w:rPr>
          <w:b/>
          <w:bCs/>
        </w:rPr>
        <w:t xml:space="preserve">Рекомендуемое ограничение использования </w:t>
      </w:r>
      <w:r>
        <w:t xml:space="preserve">Только для профессионального использования.</w:t>
      </w:r>
    </w:p>
    <w:p>
      <w:pPr>
        <w:spacing w:after="60" w:before="120"/>
      </w:pPr>
      <w:r>
        <w:rPr>
          <w:b/>
          <w:bCs/>
        </w:rPr>
        <w:t xml:space="preserve">Классификация согласно Регламенту (ЕС) № 1272/2008</w:t>
      </w:r>
    </w:p>
    <w:p>
      <w:pPr>
        <w:spacing w:after="80"/>
      </w:pPr>
      <w:r>
        <w:t xml:space="preserve">Классификация смеси в целом основана на методе расчёта с использованием данных о веществах согласно Регламенту (ЕС) № 1272/2008.</w:t>
      </w:r>
    </w:p>
    <w:p>
      <w:pPr>
        <w:spacing w:after="80"/>
      </w:pPr>
      <w:r>
        <w:rPr>
          <w:b/>
          <w:bCs/>
        </w:rPr>
        <w:t xml:space="preserve">Контакт: </w:t>
      </w:r>
      <w:r>
        <w:t xml:space="preserve">E-Mail: msds.info@pallmann.net</w:t>
      </w:r>
    </w:p>
    <w:p>
      <w:pPr>
        <w:spacing w:after="60" w:before="120"/>
      </w:pPr>
      <w:r>
        <w:rPr>
          <w:b/>
          <w:bCs/>
        </w:rPr>
        <w:t xml:space="preserve">Сокращения и аббревиатуры:</w:t>
      </w:r>
    </w:p>
    <w:p>
      <w:pPr>
        <w:spacing w:after="80"/>
      </w:pPr>
      <w:r>
        <w:t xml:space="preserve">RID: Правила международной перевозки опасных грузов по железным дорогам</w:t>
      </w:r>
    </w:p>
    <w:p>
      <w:pPr>
        <w:spacing w:after="80"/>
      </w:pPr>
      <w:r>
        <w:t xml:space="preserve">ICAO: Международная организация гражданской авиации</w:t>
      </w:r>
    </w:p>
    <w:p>
      <w:pPr>
        <w:spacing w:after="80"/>
      </w:pPr>
      <w:r>
        <w:t xml:space="preserve">ADR: Европейское соглашение о международной дорожной перевозке опасных грузов</w:t>
      </w:r>
    </w:p>
    <w:p>
      <w:pPr>
        <w:spacing w:after="80"/>
      </w:pPr>
      <w:r>
        <w:t xml:space="preserve">IMDG: Международный кодекс морской перевозки опасных грузов</w:t>
      </w:r>
    </w:p>
    <w:p>
      <w:pPr>
        <w:spacing w:after="80"/>
      </w:pPr>
      <w:r>
        <w:t xml:space="preserve">IATA: Международная ассоциация воздушного транспорта</w:t>
      </w:r>
    </w:p>
    <w:p>
      <w:pPr>
        <w:spacing w:after="80"/>
      </w:pPr>
      <w:r>
        <w:t xml:space="preserve">GHS: Согласованная на глобальном уровне система классификации и маркировки химических веществ</w:t>
      </w:r>
    </w:p>
    <w:p>
      <w:pPr>
        <w:spacing w:after="80"/>
      </w:pPr>
      <w:r>
        <w:t xml:space="preserve">EINECS: Европейский перечень существующих коммерческих химических веществ</w:t>
      </w:r>
    </w:p>
    <w:p>
      <w:pPr>
        <w:spacing w:after="80"/>
      </w:pPr>
      <w:r>
        <w:t xml:space="preserve">ELINCS: Европейский список зарегистрированных химических веществ</w:t>
      </w:r>
    </w:p>
    <w:p>
      <w:pPr>
        <w:spacing w:after="80"/>
      </w:pPr>
      <w:r>
        <w:t xml:space="preserve">CAS: Служба химических рефератов (подразделение Американского химического общества)</w:t>
      </w:r>
    </w:p>
    <w:p>
      <w:pPr>
        <w:spacing w:after="80"/>
      </w:pPr>
      <w:r>
        <w:t xml:space="preserve">LC50: Летальная концентрация, 50 процентов</w:t>
      </w:r>
    </w:p>
    <w:p>
      <w:pPr>
        <w:spacing w:after="80"/>
      </w:pPr>
      <w:r>
        <w:t xml:space="preserve">LD50: Летальная доза, 50 процентов</w:t>
      </w:r>
    </w:p>
    <w:p>
      <w:pPr>
        <w:spacing w:after="80"/>
      </w:pPr>
      <w:r>
        <w:t xml:space="preserve">СБТ: стойкое, биоаккумулятивное и токсичное вещество</w:t>
      </w:r>
    </w:p>
    <w:p>
      <w:pPr>
        <w:spacing w:after="80"/>
      </w:pPr>
      <w:r>
        <w:t xml:space="preserve">оСБсБ: очень стойкое и очень биоаккумулятивное вещество</w:t>
      </w:r>
    </w:p>
    <w:p>
      <w:pPr>
        <w:spacing w:after="80"/>
      </w:pPr>
      <w:r>
        <w:t xml:space="preserve">ATE: расчётные значения острой токсичности</w:t>
      </w:r>
    </w:p>
    <w:p>
      <w:pPr>
        <w:spacing w:after="80"/>
      </w:pPr>
      <w:r>
        <w:t xml:space="preserve">Acute Tox. 3: Острая токсичность — Категория 3</w:t>
      </w:r>
    </w:p>
    <w:p>
      <w:pPr>
        <w:spacing w:after="80"/>
      </w:pPr>
      <w:r>
        <w:t xml:space="preserve">Acute Tox. 4: Острая токсичность — Категория 4</w:t>
      </w:r>
    </w:p>
    <w:p>
      <w:pPr>
        <w:spacing w:after="80"/>
      </w:pPr>
      <w:r>
        <w:t xml:space="preserve">Acute Tox. 2: Острая токсичность — Категория 2</w:t>
      </w:r>
    </w:p>
    <w:p>
      <w:pPr>
        <w:spacing w:after="80"/>
      </w:pPr>
      <w:r>
        <w:t xml:space="preserve">Skin Corr. 1C: Коррозия/раздражение кожи — Категория 1C</w:t>
      </w:r>
    </w:p>
    <w:p>
      <w:pPr>
        <w:spacing w:after="80"/>
      </w:pPr>
      <w:r>
        <w:t xml:space="preserve">Skin Irrit. 2: Коррозия/раздражение кожи — Категория 2</w:t>
      </w:r>
    </w:p>
    <w:p>
      <w:pPr>
        <w:spacing w:after="80"/>
      </w:pPr>
      <w:r>
        <w:t xml:space="preserve">Eye Dam. 1: Серьёзное повреждение/раздражение глаз — Категория 1</w:t>
      </w:r>
    </w:p>
    <w:p>
      <w:pPr>
        <w:spacing w:after="80"/>
      </w:pPr>
      <w:r>
        <w:t xml:space="preserve">Skin Sens. 1A: Сенсибилизация кожи — Категория 1A</w:t>
      </w:r>
    </w:p>
    <w:p>
      <w:pPr>
        <w:spacing w:after="80"/>
      </w:pPr>
      <w:r>
        <w:t xml:space="preserve">Aquatic Acute 1: Опасность для водной среды - острая водная опасность — Категория 1</w:t>
      </w:r>
    </w:p>
    <w:p>
      <w:pPr>
        <w:spacing w:after="80"/>
      </w:pPr>
      <w:r>
        <w:t xml:space="preserve">Aquatic Chronic 1: Опасность для водной среды - долгосрочная водная опасность — Категория 1</w:t>
      </w:r>
    </w:p>
    <w:sectPr>
      <w:pgSz w:w="11907" w:h="16840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2026-07-20T16:32:35.806Z</dcterms:created>
  <dcterms:modified xsi:type="dcterms:W3CDTF">2026-07-20T16:32:35.807Z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