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6" w:space="8"/>
        </w:pBdr>
        <w:spacing w:after="300"/>
        <w:jc w:val="center"/>
      </w:pPr>
      <w:r>
        <w:rPr>
          <w:b/>
          <w:bCs/>
          <w:sz w:val="26"/>
          <w:szCs w:val="26"/>
        </w:rPr>
        <w:t xml:space="preserve">Торговое название: UZIN PE 425 Comp. B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Торговое название: UZIN PE 425 Comp. B. Применение: двухкомпонентная эпоксидная грунтовка на водной основе (компонент B — отвердитель). Только для профессионального использования.</w:t>
      </w:r>
    </w:p>
    <w:p>
      <w:pPr>
        <w:spacing w:after="80" w:before="0"/>
      </w:pPr>
      <w:r>
        <w:t xml:space="preserve">Производитель: UZIN UTZ AG, Dieselstraße 3, D-89079 Ulm. Поставщик в Великобритании: Uzin Utz UK Ltd. Телефон экстренной связи: медицинские случаи (GIZ-Nord) +49 551 19240.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GHS07: Skin Irrit. 2, H315 Вызывает раздражение кожи. Eye Irrit. 2, H319 Вызывает серьёзное раздражение глаз. Сигнальное слово: Предупреждение.</w:t>
      </w:r>
    </w:p>
    <w:p>
      <w:pPr>
        <w:spacing w:after="80" w:before="0"/>
      </w:pPr>
      <w:r>
        <w:t xml:space="preserve">Меры предосторожности: P280 Использовать защитные перчатки/одежду/средства защиты глаз. P302+P352, P305+P351+P338, P332+P313, P337+P313 — стандартные меры при контакте с кожей/глазами.</w:t>
      </w:r>
    </w:p>
    <w:p>
      <w:pPr>
        <w:spacing w:after="80" w:before="0"/>
      </w:pPr>
      <w:r>
        <w:t xml:space="preserve">СБТ — не применимо; оСБсБ — не применимо.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Описание: смесь веществ, указанных ниже, с неопасными добавками.</w:t>
      </w: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00"/>
        <w:gridCol w:w="3000"/>
        <w:gridCol w:w="3800"/>
        <w:gridCol w:w="1200"/>
      </w:tblGrid>
      <w:tr>
        <w:tc>
          <w:tcPr>
            <w:tcW w:type="dxa" w:w="14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30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38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2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1219458-07-7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Продукты реакции бензальдегида, диэтилентриамина и триэтилентетрамина, гидрированные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1C, H314; Aquatic Chronic 2, H411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1-&lt;3%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Немедленно снять загрязнённую одежду. Также см. паспорт безопасности компонента A. При вдыхании: свежий воздух, при жалобах — врач. При попадании на кожу: промыть водой с мылом. При попадании в глаза: промывать несколько минут, затем к врачу. При проглатывании: не вызывать рвоту, вызвать врача.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Средства: CO₂, порошок или водяной распылитель; непригодна вода сплошной струёй. Защитное снаряжение: дыхательный аппарат.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защитное снаряжение, обеспечить вентиляцию. Не допускать попадания в канализацию/водоёмы. Впитать жидкосвязывающим материалом, утилизировать согласно разделу 13.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Защитная одежда, перчатки, средства защиты глаз/лица. Избегать контакта с глазами и кожей. Держать вдали от пищи. Мыть руки перед перерывами и после работы. Хранение: ёмкость плотно закрытой, беречь от мороза.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не содержит значимых количеств материалов с критическими значениями для контроля на рабочем месте.</w:t>
      </w:r>
    </w:p>
    <w:p>
      <w:pPr>
        <w:spacing w:after="80" w:before="0"/>
      </w:pPr>
      <w:r>
        <w:t xml:space="preserve">Защита рук: нитрил/бутилкаучук, толщина ≥ 0,5 мм, время проникновения не менее 480 минут. Защита глаз: плотно прилегающие очки (EN 166). Дыхание: не требуется при хорошей вентиляции.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500"/>
        <w:gridCol w:w="5900"/>
      </w:tblGrid>
      <w:tr>
        <w:tc>
          <w:tcPr>
            <w:tcW w:type="dxa" w:w="35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59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желтоватый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аминоподобный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полностью смешивается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 г/см³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Разложения не происходит при использовании по назначению. Сильная экзотермическая реакция с кислотами. При повышенных температурах возможны коррозионные газы/пары: диоксид углерода, монооксид углерода, дым, оксиды азота.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Раздражение кожи: вызывает раздражение кожи. Раздражение глаз: вызывает серьёзное раздражение глаз. Острая токсичность, мутагенность, канцерогенность, репродуктивная токсичность, STOT, аспирационная опасность: критерии классификации не выполняются.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Дополнительной значимой информации об экотоксичности нет. Не допускать попадания в грунтовые воды, водотоки или канализацию.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Смешать оба компонента, дать затвердеть, утилизировать как строительные отходы согласно местному законодательству. Загрязнённую упаковку тщательно опорожнить, переработать после очистки.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Не применяется (Void) по всем пунктам ADR/ADN/IMDG/IATA. Загрязнитель морской среды: нет.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Регламент (ЕС) № 1907/2006, Приложение XVII: условия ограничения 3. Оценка химической безопасности не проводилась.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H314 Вызывает серьёзные ожоги кожи и повреждение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H411 Токсично для водных организмов с долгосрочными последствиями.</w:t>
      </w:r>
    </w:p>
    <w:p>
      <w:pPr>
        <w:spacing w:after="80" w:before="0"/>
      </w:pPr>
      <w:r>
        <w:t xml:space="preserve">Отдел безопасности продукции, тел. +49 (0)731 4097 207.</w:t>
      </w:r>
    </w:p>
    <w:p>
      <w:pPr>
        <w:spacing w:after="15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2026-07-13T10:46:28.824Z</dcterms:created>
  <dcterms:modified xsi:type="dcterms:W3CDTF">2026-07-13T10:46:28.824Z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