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/>
        <w:jc w:val="center"/>
      </w:pPr>
      <w:r>
        <w:rPr>
          <w:b/>
          <w:bCs/>
          <w:sz w:val="32"/>
          <w:szCs w:val="32"/>
        </w:rPr>
        <w:t xml:space="preserve">Паспорт безопасности</w:t>
      </w:r>
    </w:p>
    <w:p>
      <w:pPr>
        <w:spacing w:after="200"/>
        <w:jc w:val="center"/>
      </w:pPr>
      <w:r>
        <w:rPr>
          <w:i/>
          <w:iCs/>
          <w:sz w:val="22"/>
          <w:szCs w:val="22"/>
        </w:rPr>
        <w:t xml:space="preserve">согласно 1907/2006/EC, Статья 31</w:t>
      </w:r>
    </w:p>
    <w:p>
      <w:pPr>
        <w:pBdr>
          <w:bottom w:val="single" w:color="000000" w:sz="6" w:space="4"/>
        </w:pBdr>
        <w:spacing w:after="300"/>
        <w:jc w:val="center"/>
      </w:pPr>
      <w:r>
        <w:rPr>
          <w:b/>
          <w:bCs/>
          <w:sz w:val="26"/>
          <w:szCs w:val="26"/>
        </w:rPr>
        <w:t xml:space="preserve">PALL-X 98 Комп. B</w:t>
      </w:r>
    </w:p>
    <w:tbl>
      <w:tblPr>
        <w:tblW w:type="dxa" w:w="9639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9"/>
      </w:tblGrid>
      <w:tr>
        <w:tc>
          <w:tcPr>
            <w:tcW w:type="dxa" w:w="9639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1: Идентификация вещества/смеси и сведения о компании</w:t>
            </w:r>
          </w:p>
        </w:tc>
      </w:tr>
    </w:tbl>
    <w:p>
      <w:pPr>
        <w:spacing w:after="100" w:before="100"/>
      </w:pPr>
    </w:p>
    <w:p>
      <w:pPr>
        <w:spacing w:after="60" w:before="120"/>
      </w:pPr>
      <w:r>
        <w:rPr>
          <w:b/>
          <w:bCs/>
        </w:rPr>
        <w:t xml:space="preserve">1.1 Идентификатор продукта</w:t>
      </w:r>
    </w:p>
    <w:p>
      <w:pPr>
        <w:spacing w:after="80"/>
      </w:pPr>
      <w:r>
        <w:rPr>
          <w:b/>
          <w:bCs/>
        </w:rPr>
        <w:t xml:space="preserve">Торговое название: </w:t>
      </w:r>
      <w:r>
        <w:t xml:space="preserve">PALL-X 98 Комп. B</w:t>
      </w:r>
    </w:p>
    <w:p>
      <w:pPr>
        <w:spacing w:after="80"/>
      </w:pPr>
      <w:r>
        <w:rPr>
          <w:b/>
          <w:bCs/>
        </w:rPr>
        <w:t xml:space="preserve">1.2 Соответствующие установленные виды использования вещества или смеси и виды использования, не рекомендуемые к применению </w:t>
      </w:r>
      <w:r>
        <w:t xml:space="preserve">Особых требований нет.</w:t>
      </w:r>
    </w:p>
    <w:p>
      <w:pPr>
        <w:spacing w:after="60" w:before="120"/>
      </w:pPr>
      <w:r>
        <w:rPr>
          <w:b/>
          <w:bCs/>
        </w:rPr>
        <w:t xml:space="preserve">Сектор использования</w:t>
      </w:r>
    </w:p>
    <w:p>
      <w:pPr>
        <w:spacing w:after="80"/>
      </w:pPr>
      <w:r>
        <w:t xml:space="preserve">SU19 Строительные работы</w:t>
      </w:r>
    </w:p>
    <w:p>
      <w:pPr>
        <w:spacing w:after="80"/>
      </w:pPr>
      <w:r>
        <w:t xml:space="preserve">SU22 Профессиональное использование: общественная сфера (администрирование, образование, развлечения, услуги, ремесленники)</w:t>
      </w:r>
    </w:p>
    <w:p>
      <w:pPr>
        <w:spacing w:after="80"/>
      </w:pPr>
      <w:r>
        <w:t xml:space="preserve">Только для профессионального использования.</w:t>
      </w:r>
    </w:p>
    <w:p>
      <w:pPr>
        <w:spacing w:after="80"/>
      </w:pPr>
      <w:r>
        <w:rPr>
          <w:b/>
          <w:bCs/>
        </w:rPr>
        <w:t xml:space="preserve">Категория продукта </w:t>
      </w:r>
      <w:r>
        <w:t xml:space="preserve">PC9a Покрытия и краски, разбавители, средства для снятия краски</w:t>
      </w:r>
    </w:p>
    <w:p>
      <w:pPr>
        <w:spacing w:after="80"/>
      </w:pPr>
      <w:r>
        <w:rPr>
          <w:b/>
          <w:bCs/>
        </w:rPr>
        <w:t xml:space="preserve">Применение вещества/смеси </w:t>
      </w:r>
      <w:r>
        <w:t xml:space="preserve">Паркетный лак на водной основе, двухкомпонентный</w:t>
      </w:r>
    </w:p>
    <w:p>
      <w:pPr>
        <w:spacing w:after="60" w:before="120"/>
      </w:pPr>
      <w:r>
        <w:rPr>
          <w:b/>
          <w:bCs/>
        </w:rPr>
        <w:t xml:space="preserve">1.3 Данные поставщика паспорта безопасности</w:t>
      </w:r>
    </w:p>
    <w:p>
      <w:pPr>
        <w:spacing w:after="80"/>
      </w:pPr>
      <w:r>
        <w:rPr>
          <w:b/>
          <w:bCs/>
        </w:rPr>
        <w:t xml:space="preserve">Производитель/Поставщик: </w:t>
      </w:r>
      <w:r>
        <w:t xml:space="preserve"/>
      </w:r>
    </w:p>
    <w:p>
      <w:pPr>
        <w:spacing w:after="80"/>
      </w:pPr>
      <w:r>
        <w:t xml:space="preserve">PALLMANN GmbH</w:t>
      </w:r>
    </w:p>
    <w:p>
      <w:pPr>
        <w:spacing w:after="80"/>
      </w:pPr>
      <w:r>
        <w:t xml:space="preserve">Im Kreuz 6</w:t>
      </w:r>
    </w:p>
    <w:p>
      <w:pPr>
        <w:spacing w:after="80"/>
      </w:pPr>
      <w:r>
        <w:t xml:space="preserve">D-97076 Würzburg</w:t>
      </w:r>
    </w:p>
    <w:p>
      <w:pPr>
        <w:spacing w:after="80"/>
      </w:pPr>
      <w:r>
        <w:t xml:space="preserve">Тел.: +49 931-27964-0</w:t>
      </w:r>
    </w:p>
    <w:p>
      <w:pPr>
        <w:spacing w:after="80"/>
      </w:pPr>
      <w:r>
        <w:t xml:space="preserve">Факс: +49 931-27964-50</w:t>
      </w:r>
    </w:p>
    <w:p>
      <w:pPr>
        <w:spacing w:after="80"/>
      </w:pPr>
      <w:r>
        <w:rPr>
          <w:b/>
          <w:bCs/>
        </w:rPr>
        <w:t xml:space="preserve">Дополнительную информацию можно получить: </w:t>
      </w:r>
      <w:r>
        <w:t xml:space="preserve"/>
      </w:r>
    </w:p>
    <w:p>
      <w:pPr>
        <w:spacing w:after="80"/>
      </w:pPr>
      <w:r>
        <w:t xml:space="preserve">Products Development Lab</w:t>
      </w:r>
    </w:p>
    <w:p>
      <w:pPr>
        <w:spacing w:after="80"/>
      </w:pPr>
      <w:r>
        <w:t xml:space="preserve">E-Mail: msds.info@pallmann.net</w:t>
      </w:r>
    </w:p>
    <w:p>
      <w:pPr>
        <w:spacing w:after="60" w:before="120"/>
      </w:pPr>
      <w:r>
        <w:rPr>
          <w:b/>
          <w:bCs/>
        </w:rPr>
        <w:t xml:space="preserve">1.4 Телефон экстренной связи:</w:t>
      </w:r>
    </w:p>
    <w:p>
      <w:pPr>
        <w:spacing w:after="80"/>
      </w:pPr>
      <w:r>
        <w:t xml:space="preserve">Медицинские экстренные случаи (GIZ-Nord Poisons Center): +49 551 19240</w:t>
      </w:r>
    </w:p>
    <w:p>
      <w:pPr>
        <w:spacing w:after="80"/>
      </w:pPr>
      <w:r>
        <w:t xml:space="preserve">Транспортные экстренные случаи: +49 621 60 43 333</w:t>
      </w:r>
    </w:p>
    <w:tbl>
      <w:tblPr>
        <w:tblW w:type="dxa" w:w="9639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9"/>
      </w:tblGrid>
      <w:tr>
        <w:tc>
          <w:tcPr>
            <w:tcW w:type="dxa" w:w="9639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2: Идентификация опасности</w:t>
            </w:r>
          </w:p>
        </w:tc>
      </w:tr>
    </w:tbl>
    <w:p>
      <w:pPr>
        <w:spacing w:after="100" w:before="100"/>
      </w:pPr>
    </w:p>
    <w:p>
      <w:pPr>
        <w:spacing w:after="60" w:before="120"/>
      </w:pPr>
      <w:r>
        <w:rPr>
          <w:b/>
          <w:bCs/>
        </w:rPr>
        <w:t xml:space="preserve">2.1 Классификация вещества или смеси</w:t>
      </w:r>
    </w:p>
    <w:p>
      <w:pPr>
        <w:spacing w:after="80"/>
      </w:pPr>
      <w:r>
        <w:rPr>
          <w:b/>
          <w:bCs/>
        </w:rPr>
        <w:t xml:space="preserve">Классификация согласно Регламенту (ЕС) № 1272/2008 </w:t>
      </w:r>
      <w:r>
        <w:t xml:space="preserve"/>
      </w:r>
    </w:p>
    <w:p>
      <w:pPr>
        <w:spacing w:after="80"/>
      </w:pPr>
      <w:r>
        <w:t xml:space="preserve">Пиктограмма опасности: GHS07</w:t>
      </w:r>
    </w:p>
    <w:p>
      <w:pPr>
        <w:spacing w:after="80"/>
      </w:pPr>
      <w:r>
        <w:t xml:space="preserve">Acute Tox. 4 — H332 Вредно при вдыхании.</w:t>
      </w:r>
    </w:p>
    <w:p>
      <w:pPr>
        <w:spacing w:after="80"/>
      </w:pPr>
      <w:r>
        <w:t xml:space="preserve">Skin Sens. 1 — H317 Может вызывать аллергическую кожную реакцию.</w:t>
      </w:r>
    </w:p>
    <w:p>
      <w:pPr>
        <w:spacing w:after="80"/>
      </w:pPr>
      <w:r>
        <w:t xml:space="preserve">STOT SE 3 — H335 Может вызывать раздражение дыхательных путей.</w:t>
      </w:r>
    </w:p>
    <w:p>
      <w:pPr>
        <w:spacing w:after="80"/>
      </w:pPr>
      <w:r>
        <w:t xml:space="preserve">Aquatic Chronic 3 — H412 Вредно для водных организмов с долгосрочными последствиями.</w:t>
      </w:r>
    </w:p>
    <w:p>
      <w:pPr>
        <w:spacing w:after="60" w:before="120"/>
      </w:pPr>
      <w:r>
        <w:rPr>
          <w:b/>
          <w:bCs/>
        </w:rPr>
        <w:t xml:space="preserve">2.2 Элементы маркировки</w:t>
      </w:r>
    </w:p>
    <w:p>
      <w:pPr>
        <w:spacing w:after="80"/>
      </w:pPr>
      <w:r>
        <w:t xml:space="preserve">Маркировка согласно Регламенту (ЕС) № 1272/2008: продукт классифицирован и маркирован согласно регламенту GB CLP (Великобритания).</w:t>
      </w:r>
    </w:p>
    <w:p>
      <w:pPr>
        <w:spacing w:after="80"/>
      </w:pPr>
      <w:r>
        <w:rPr>
          <w:b/>
          <w:bCs/>
        </w:rPr>
        <w:t xml:space="preserve">Пиктограммы опасности: </w:t>
      </w:r>
      <w:r>
        <w:t xml:space="preserve">GHS07</w:t>
      </w:r>
    </w:p>
    <w:p>
      <w:pPr>
        <w:spacing w:after="80"/>
      </w:pPr>
      <w:r>
        <w:rPr>
          <w:b/>
          <w:bCs/>
        </w:rPr>
        <w:t xml:space="preserve">Сигнальное слово: </w:t>
      </w:r>
      <w:r>
        <w:t xml:space="preserve">Внимание (Warning)</w:t>
      </w:r>
    </w:p>
    <w:p>
      <w:pPr>
        <w:spacing w:after="60" w:before="120"/>
      </w:pPr>
      <w:r>
        <w:rPr>
          <w:b/>
          <w:bCs/>
        </w:rPr>
        <w:t xml:space="preserve">Компоненты маркировки, определяющие опасность:</w:t>
      </w:r>
    </w:p>
    <w:p>
      <w:pPr>
        <w:spacing w:after="80"/>
      </w:pPr>
      <w:r>
        <w:t xml:space="preserve">Гидрофильный алифатический полиизоцианат</w:t>
      </w:r>
    </w:p>
    <w:p>
      <w:pPr>
        <w:spacing w:after="80"/>
      </w:pPr>
      <w:r>
        <w:t xml:space="preserve">Гексаметилен-диизоцианат</w:t>
      </w:r>
    </w:p>
    <w:p>
      <w:pPr>
        <w:spacing w:after="60" w:before="120"/>
      </w:pPr>
      <w:r>
        <w:rPr>
          <w:b/>
          <w:bCs/>
        </w:rPr>
        <w:t xml:space="preserve">Указания на опасность:</w:t>
      </w:r>
    </w:p>
    <w:p>
      <w:pPr>
        <w:spacing w:after="80"/>
      </w:pPr>
      <w:r>
        <w:t xml:space="preserve">H332 Вредно при вдыхании.</w:t>
      </w:r>
    </w:p>
    <w:p>
      <w:pPr>
        <w:spacing w:after="80"/>
      </w:pPr>
      <w:r>
        <w:t xml:space="preserve">H317 Может вызывать аллергическую кожную реакцию.</w:t>
      </w:r>
    </w:p>
    <w:p>
      <w:pPr>
        <w:spacing w:after="80"/>
      </w:pPr>
      <w:r>
        <w:t xml:space="preserve">H335 Может вызывать раздражение дыхательных путей.</w:t>
      </w:r>
    </w:p>
    <w:p>
      <w:pPr>
        <w:spacing w:after="80"/>
      </w:pPr>
      <w:r>
        <w:t xml:space="preserve">H412 Вредно для водных организмов с долгосрочными последствиями.</w:t>
      </w:r>
    </w:p>
    <w:p>
      <w:pPr>
        <w:spacing w:after="60" w:before="120"/>
      </w:pPr>
      <w:r>
        <w:rPr>
          <w:b/>
          <w:bCs/>
        </w:rPr>
        <w:t xml:space="preserve">Меры предосторожности:</w:t>
      </w:r>
    </w:p>
    <w:p>
      <w:pPr>
        <w:spacing w:after="80"/>
      </w:pPr>
      <w:r>
        <w:t xml:space="preserve">P273 Избегать попадания в окружающую среду.</w:t>
      </w:r>
    </w:p>
    <w:p>
      <w:pPr>
        <w:spacing w:after="80"/>
      </w:pPr>
      <w:r>
        <w:t xml:space="preserve">P280 Использовать защитные перчатки/защитную одежду/средства защиты глаз/лица.</w:t>
      </w:r>
    </w:p>
    <w:p>
      <w:pPr>
        <w:spacing w:after="80"/>
      </w:pPr>
      <w:r>
        <w:t xml:space="preserve">P302+P352 ПРИ ПОПАДАНИИ НА КОЖУ: промыть большим количеством воды с мылом.</w:t>
      </w:r>
    </w:p>
    <w:p>
      <w:pPr>
        <w:spacing w:after="80"/>
      </w:pPr>
      <w:r>
        <w:t xml:space="preserve">P333+P313 При раздражении или появлении сыпи на коже: обратиться за медицинской помощью.</w:t>
      </w:r>
    </w:p>
    <w:p>
      <w:pPr>
        <w:spacing w:after="80"/>
      </w:pPr>
      <w:r>
        <w:t xml:space="preserve">P342+P311 При появлении симптомов затруднения дыхания: обратиться в токсикологический центр/к врачу.</w:t>
      </w:r>
    </w:p>
    <w:p>
      <w:pPr>
        <w:spacing w:after="80"/>
      </w:pPr>
      <w:r>
        <w:t xml:space="preserve">P362+P364 Снять загрязнённую одежду и постирать её перед повторным использованием.</w:t>
      </w:r>
    </w:p>
    <w:p>
      <w:pPr>
        <w:spacing w:after="60" w:before="120"/>
      </w:pPr>
      <w:r>
        <w:rPr>
          <w:b/>
          <w:bCs/>
        </w:rPr>
        <w:t xml:space="preserve">2.3 Прочие опасности</w:t>
      </w:r>
    </w:p>
    <w:p>
      <w:pPr>
        <w:spacing w:after="60" w:before="120"/>
      </w:pPr>
      <w:r>
        <w:rPr>
          <w:b/>
          <w:bCs/>
        </w:rPr>
        <w:t xml:space="preserve">Результаты оценки СБТ и оСБсБ</w:t>
      </w:r>
    </w:p>
    <w:p>
      <w:pPr>
        <w:spacing w:after="80"/>
      </w:pPr>
      <w:r>
        <w:rPr>
          <w:b/>
          <w:bCs/>
        </w:rPr>
        <w:t xml:space="preserve">СБТ: </w:t>
      </w:r>
      <w:r>
        <w:t xml:space="preserve">Данное вещество/смесь не содержит компонентов, которые могут считаться стойкими, биоаккумулятивными и токсичными (СБТ).</w:t>
      </w:r>
    </w:p>
    <w:p>
      <w:pPr>
        <w:spacing w:after="80"/>
      </w:pPr>
      <w:r>
        <w:rPr>
          <w:b/>
          <w:bCs/>
        </w:rPr>
        <w:t xml:space="preserve">оСБсБ: </w:t>
      </w:r>
      <w:r>
        <w:t xml:space="preserve">Данное вещество/смесь не содержит компонентов, которые могут считаться очень стойкими и очень биоаккумулятивными (оСБсБ), в концентрациях 0,1%.</w:t>
      </w:r>
    </w:p>
    <w:tbl>
      <w:tblPr>
        <w:tblW w:type="dxa" w:w="9639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9"/>
      </w:tblGrid>
      <w:tr>
        <w:tc>
          <w:tcPr>
            <w:tcW w:type="dxa" w:w="9639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3: Состав / информация о компонентах</w:t>
            </w:r>
          </w:p>
        </w:tc>
      </w:tr>
    </w:tbl>
    <w:p>
      <w:pPr>
        <w:spacing w:after="100" w:before="100"/>
      </w:pPr>
    </w:p>
    <w:p>
      <w:pPr>
        <w:spacing w:after="60" w:before="120"/>
      </w:pPr>
      <w:r>
        <w:rPr>
          <w:b/>
          <w:bCs/>
        </w:rPr>
        <w:t xml:space="preserve">3.2 Смеси</w:t>
      </w:r>
    </w:p>
    <w:p>
      <w:pPr>
        <w:spacing w:after="80"/>
      </w:pPr>
      <w:r>
        <w:rPr>
          <w:b/>
          <w:bCs/>
        </w:rPr>
        <w:t xml:space="preserve">Описание: </w:t>
      </w:r>
      <w:r>
        <w:t xml:space="preserve">Смесь перечисленных ниже веществ с неопасными добавками.</w:t>
      </w:r>
    </w:p>
    <w:p>
      <w:pPr>
        <w:spacing w:after="60" w:before="60"/>
      </w:pPr>
    </w:p>
    <w:p>
      <w:pPr>
        <w:spacing w:after="60" w:before="120"/>
      </w:pPr>
      <w:r>
        <w:rPr>
          <w:b/>
          <w:bCs/>
        </w:rPr>
        <w:t xml:space="preserve">Опасные компоненты:</w:t>
      </w:r>
    </w:p>
    <w:tbl>
      <w:tblPr>
        <w:tblW w:type="dxa" w:w="963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100"/>
        <w:gridCol w:w="5300"/>
        <w:gridCol w:w="2239"/>
      </w:tblGrid>
      <w:tr>
        <w:trPr>
          <w:tblHeader/>
        </w:trPr>
        <w:tc>
          <w:tcPr>
            <w:tcW w:type="dxa" w:w="21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/>
                <w:bCs/>
              </w:rPr>
              <w:t xml:space="preserve">Идентификатор</w:t>
            </w:r>
          </w:p>
        </w:tc>
        <w:tc>
          <w:tcPr>
            <w:tcW w:type="dxa" w:w="53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/>
                <w:bCs/>
              </w:rPr>
              <w:t xml:space="preserve">Наименование / классификация</w:t>
            </w:r>
          </w:p>
        </w:tc>
        <w:tc>
          <w:tcPr>
            <w:tcW w:type="dxa" w:w="223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/>
                <w:bCs/>
              </w:rPr>
              <w:t xml:space="preserve">Концентрация</w:t>
            </w:r>
          </w:p>
        </w:tc>
      </w:tr>
      <w:tr>
        <w:tc>
          <w:tcPr>
            <w:tcW w:type="dxa" w:w="21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CAS: 160994-68-3</w:t>
            </w:r>
          </w:p>
        </w:tc>
        <w:tc>
          <w:tcPr>
            <w:tcW w:type="dxa" w:w="53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Гидрофильный алифатический полиизоцианат
Acute Tox. 4, H332; Skin Sens. 1, H317; STOT SE 3, H335; Aquatic Chronic 3, H412, EUH204</w:t>
            </w:r>
          </w:p>
        </w:tc>
        <w:tc>
          <w:tcPr>
            <w:tcW w:type="dxa" w:w="223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50-75%</w:t>
            </w:r>
          </w:p>
        </w:tc>
      </w:tr>
      <w:tr>
        <w:tc>
          <w:tcPr>
            <w:tcW w:type="dxa" w:w="21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CAS: 666723-27-9</w:t>
            </w:r>
          </w:p>
        </w:tc>
        <w:tc>
          <w:tcPr>
            <w:tcW w:type="dxa" w:w="53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Гидрофильный алифатический полиизоцианат
Acute Tox. 4, H332; Skin Sens. 1, H317; STOT SE 3, H335; Aquatic Chronic 3, H412, EUH204</w:t>
            </w:r>
          </w:p>
        </w:tc>
        <w:tc>
          <w:tcPr>
            <w:tcW w:type="dxa" w:w="223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10-&lt;20%</w:t>
            </w:r>
          </w:p>
        </w:tc>
      </w:tr>
      <w:tr>
        <w:tc>
          <w:tcPr>
            <w:tcW w:type="dxa" w:w="21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CAS: 822-06-0
EINECS: 212-485-8
Reg.nr.: 01-2119457571-37</w:t>
            </w:r>
          </w:p>
        </w:tc>
        <w:tc>
          <w:tcPr>
            <w:tcW w:type="dxa" w:w="53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Гексаметилен-диизоцианат
Acute Tox. 3, H331; Resp. Sens. 1, H334; Acute Tox. 4, H302; Skin Irrit. 2, H315; Eye Irrit. 2, H319; Skin Sens. 1, H317; STOT SE 3, H335, EUH204
Специфические пределы концентрации: Resp. Sens. 1; H334: C ≥ 0,5 %; Skin Sens. 1; H317: C ≥ 0,5 %</w:t>
            </w:r>
          </w:p>
        </w:tc>
        <w:tc>
          <w:tcPr>
            <w:tcW w:type="dxa" w:w="223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&lt;0,1%</w:t>
            </w:r>
          </w:p>
        </w:tc>
      </w:tr>
    </w:tbl>
    <w:p>
      <w:pPr>
        <w:spacing w:after="100" w:before="100"/>
      </w:pPr>
    </w:p>
    <w:p>
      <w:pPr>
        <w:spacing w:after="80"/>
      </w:pPr>
      <w:r>
        <w:rPr>
          <w:b/>
          <w:bCs/>
        </w:rPr>
        <w:t xml:space="preserve">Дополнительная информация: </w:t>
      </w:r>
      <w:r>
        <w:t xml:space="preserve">Формулировки перечисленных указаний на опасность приведены в разделе 16.</w:t>
      </w:r>
    </w:p>
    <w:tbl>
      <w:tblPr>
        <w:tblW w:type="dxa" w:w="9639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9"/>
      </w:tblGrid>
      <w:tr>
        <w:tc>
          <w:tcPr>
            <w:tcW w:type="dxa" w:w="9639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4: Меры первой помощи</w:t>
            </w:r>
          </w:p>
        </w:tc>
      </w:tr>
    </w:tbl>
    <w:p>
      <w:pPr>
        <w:spacing w:after="100" w:before="100"/>
      </w:pPr>
    </w:p>
    <w:p>
      <w:pPr>
        <w:spacing w:after="60" w:before="120"/>
      </w:pPr>
      <w:r>
        <w:rPr>
          <w:b/>
          <w:bCs/>
        </w:rPr>
        <w:t xml:space="preserve">4.1 Описание мер первой помощи</w:t>
      </w:r>
    </w:p>
    <w:p>
      <w:pPr>
        <w:spacing w:after="60" w:before="120"/>
      </w:pPr>
      <w:r>
        <w:rPr>
          <w:b/>
          <w:bCs/>
        </w:rPr>
        <w:t xml:space="preserve">Общая информация:</w:t>
      </w:r>
    </w:p>
    <w:p>
      <w:pPr>
        <w:spacing w:after="80"/>
      </w:pPr>
      <w:r>
        <w:t xml:space="preserve">Симптомы отравления могут проявиться даже спустя несколько часов; поэтому необходимо медицинское наблюдение в течение как минимум 48 часов после происшествия.</w:t>
      </w:r>
    </w:p>
    <w:p>
      <w:pPr>
        <w:spacing w:after="60" w:before="120"/>
      </w:pPr>
      <w:r>
        <w:rPr>
          <w:b/>
          <w:bCs/>
        </w:rPr>
        <w:t xml:space="preserve">При вдыхании:</w:t>
      </w:r>
    </w:p>
    <w:p>
      <w:pPr>
        <w:spacing w:after="80"/>
      </w:pPr>
      <w:r>
        <w:t xml:space="preserve">Обеспечить приток свежего воздуха; при жалобах обратиться к врачу.</w:t>
      </w:r>
    </w:p>
    <w:p>
      <w:pPr>
        <w:spacing w:after="80"/>
      </w:pPr>
      <w:r>
        <w:t xml:space="preserve">Обеспечить приток свежего воздуха. При необходимости провести искусственное дыхание. Согревать пострадавшего. При сохранении симптомов обратиться к врачу.</w:t>
      </w:r>
    </w:p>
    <w:p>
      <w:pPr>
        <w:spacing w:after="80"/>
      </w:pPr>
      <w:r>
        <w:t xml:space="preserve">В случае потери сознания уложить пострадавшего в устойчивое боковое положение для транспортировки.</w:t>
      </w:r>
    </w:p>
    <w:p>
      <w:pPr>
        <w:spacing w:after="80"/>
      </w:pPr>
      <w:r>
        <w:rPr>
          <w:b/>
          <w:bCs/>
        </w:rPr>
        <w:t xml:space="preserve">При контакте с кожей: </w:t>
      </w:r>
      <w:r>
        <w:t xml:space="preserve">Как правило, продукт не раздражает кожу.</w:t>
      </w:r>
    </w:p>
    <w:p>
      <w:pPr>
        <w:spacing w:after="80"/>
      </w:pPr>
      <w:r>
        <w:rPr>
          <w:b/>
          <w:bCs/>
        </w:rPr>
        <w:t xml:space="preserve">При контакте с глазами: </w:t>
      </w:r>
      <w:r>
        <w:t xml:space="preserve">Промывать открытый глаз в течение нескольких минут под проточной водой. При сохранении симптомов обратиться к врачу.</w:t>
      </w:r>
    </w:p>
    <w:p>
      <w:pPr>
        <w:spacing w:after="60" w:before="120"/>
      </w:pPr>
      <w:r>
        <w:rPr>
          <w:b/>
          <w:bCs/>
        </w:rPr>
        <w:t xml:space="preserve">При проглатывании:</w:t>
      </w:r>
    </w:p>
    <w:p>
      <w:pPr>
        <w:spacing w:after="80"/>
      </w:pPr>
      <w:r>
        <w:t xml:space="preserve">Не вызывать рвоту; немедленно обратиться за медицинской помощью.</w:t>
      </w:r>
    </w:p>
    <w:p>
      <w:pPr>
        <w:spacing w:after="80"/>
      </w:pPr>
      <w:r>
        <w:t xml:space="preserve">Пострадавшего при рвоте, лежащего на спине, следует повернуть на бок.</w:t>
      </w:r>
    </w:p>
    <w:p>
      <w:pPr>
        <w:spacing w:after="80"/>
      </w:pPr>
      <w:r>
        <w:t xml:space="preserve">Тщательно очистить рот и прополоскать водой.</w:t>
      </w:r>
    </w:p>
    <w:p>
      <w:pPr>
        <w:spacing w:after="60" w:before="120"/>
      </w:pPr>
      <w:r>
        <w:rPr>
          <w:b/>
          <w:bCs/>
        </w:rPr>
        <w:t xml:space="preserve">4.2 Наиболее важные симптомы и эффекты, острые и отсроченные</w:t>
      </w:r>
    </w:p>
    <w:p>
      <w:pPr>
        <w:spacing w:after="80"/>
      </w:pPr>
      <w:r>
        <w:t xml:space="preserve">Аллергические реакции</w:t>
      </w:r>
    </w:p>
    <w:p>
      <w:pPr>
        <w:spacing w:after="80"/>
      </w:pPr>
      <w:r>
        <w:t xml:space="preserve">Данный продукт раздражает и сенсибилизирует при вдыхании: повторное вдыхание концентраций паров или аэрозолей выше предельного значения может вызвать сенсибилизацию дыхательных путей.</w:t>
      </w:r>
    </w:p>
    <w:p>
      <w:pPr>
        <w:spacing w:after="80"/>
      </w:pPr>
      <w:r>
        <w:t xml:space="preserve">Могут возникать следующие симптомы, среди прочего: раздражение глаз, носа, горла и лёгких, вероятно, вместе с сухостью в горле, стеснением в груди и затруднением дыхания.</w:t>
      </w:r>
    </w:p>
    <w:p>
      <w:pPr>
        <w:spacing w:after="80"/>
      </w:pPr>
      <w:r>
        <w:rPr>
          <w:b/>
          <w:bCs/>
        </w:rPr>
        <w:t xml:space="preserve">4.3 Указание на необходимость немедленной медицинской помощи и специального лечения </w:t>
      </w:r>
      <w:r>
        <w:t xml:space="preserve">Симптомы отравления могут проявиться даже спустя несколько часов; поэтому необходимо медицинское наблюдение в течение как минимум 48 часов после происшествия.</w:t>
      </w:r>
    </w:p>
    <w:tbl>
      <w:tblPr>
        <w:tblW w:type="dxa" w:w="9639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9"/>
      </w:tblGrid>
      <w:tr>
        <w:tc>
          <w:tcPr>
            <w:tcW w:type="dxa" w:w="9639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5: Меры пожаротушения</w:t>
            </w:r>
          </w:p>
        </w:tc>
      </w:tr>
    </w:tbl>
    <w:p>
      <w:pPr>
        <w:spacing w:after="100" w:before="100"/>
      </w:pPr>
    </w:p>
    <w:p>
      <w:pPr>
        <w:spacing w:after="60" w:before="120"/>
      </w:pPr>
      <w:r>
        <w:rPr>
          <w:b/>
          <w:bCs/>
        </w:rPr>
        <w:t xml:space="preserve">5.1 Средства пожаротушения</w:t>
      </w:r>
    </w:p>
    <w:p>
      <w:pPr>
        <w:spacing w:after="80"/>
      </w:pPr>
      <w:r>
        <w:rPr>
          <w:b/>
          <w:bCs/>
        </w:rPr>
        <w:t xml:space="preserve">Подходящие средства пожаротушения: </w:t>
      </w:r>
      <w:r>
        <w:t xml:space="preserve">CO₂, порошок или водяной распылитель. При крупных пожарах использовать водяной распылитель или пену, стойкую к спирту.</w:t>
      </w:r>
    </w:p>
    <w:p>
      <w:pPr>
        <w:spacing w:after="80"/>
      </w:pPr>
      <w:r>
        <w:rPr>
          <w:b/>
          <w:bCs/>
        </w:rPr>
        <w:t xml:space="preserve">Непригодные по соображениям безопасности средства пожаротушения: </w:t>
      </w:r>
      <w:r>
        <w:t xml:space="preserve">Вода в сплошной струе</w:t>
      </w:r>
    </w:p>
    <w:p>
      <w:pPr>
        <w:spacing w:after="60" w:before="120"/>
      </w:pPr>
      <w:r>
        <w:rPr>
          <w:b/>
          <w:bCs/>
        </w:rPr>
        <w:t xml:space="preserve">5.2 Особые опасности, возникающие в связи с веществом или смесью</w:t>
      </w:r>
    </w:p>
    <w:p>
      <w:pPr>
        <w:spacing w:after="80"/>
      </w:pPr>
      <w:r>
        <w:t xml:space="preserve">Особые опасности при пожаротушении:</w:t>
      </w:r>
    </w:p>
    <w:p>
      <w:pPr>
        <w:spacing w:after="80"/>
      </w:pPr>
      <w:r>
        <w:t xml:space="preserve">Под воздействием тепла давление в плотно закрытых ёмкостях может повышаться.</w:t>
      </w:r>
    </w:p>
    <w:p>
      <w:pPr>
        <w:spacing w:after="80"/>
      </w:pPr>
      <w:r>
        <w:t xml:space="preserve">Вдыхание продуктов разложения может нанести вред здоровью.</w:t>
      </w:r>
    </w:p>
    <w:p>
      <w:pPr>
        <w:spacing w:after="60" w:before="120"/>
      </w:pPr>
      <w:r>
        <w:rPr>
          <w:b/>
          <w:bCs/>
        </w:rPr>
        <w:t xml:space="preserve">5.3 Рекомендации для пожарных</w:t>
      </w:r>
    </w:p>
    <w:p>
      <w:pPr>
        <w:spacing w:after="80"/>
      </w:pPr>
      <w:r>
        <w:rPr>
          <w:b/>
          <w:bCs/>
        </w:rPr>
        <w:t xml:space="preserve">Средства защиты: </w:t>
      </w:r>
      <w:r>
        <w:t xml:space="preserve">Средство защиты органов дыхания.</w:t>
      </w:r>
    </w:p>
    <w:p>
      <w:pPr>
        <w:spacing w:after="60" w:before="120"/>
      </w:pPr>
      <w:r>
        <w:rPr>
          <w:b/>
          <w:bCs/>
        </w:rPr>
        <w:t xml:space="preserve">Дополнительная информация</w:t>
      </w:r>
    </w:p>
    <w:p>
      <w:pPr>
        <w:spacing w:after="80"/>
      </w:pPr>
      <w:r>
        <w:t xml:space="preserve">Охлаждать ёмкости, подверженные риску, водяным распылителем.</w:t>
      </w:r>
    </w:p>
    <w:p>
      <w:pPr>
        <w:spacing w:after="80"/>
      </w:pPr>
      <w:r>
        <w:t xml:space="preserve">Утилизировать остатки пожара и загрязнённую воду для тушения в соответствии с официальными предписаниями.</w:t>
      </w:r>
    </w:p>
    <w:p>
      <w:pPr>
        <w:spacing w:after="80"/>
      </w:pPr>
      <w:r>
        <w:t xml:space="preserve">Собирать загрязнённую воду для тушения отдельно. Она не должна попадать в канализацию.</w:t>
      </w:r>
    </w:p>
    <w:tbl>
      <w:tblPr>
        <w:tblW w:type="dxa" w:w="9639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9"/>
      </w:tblGrid>
      <w:tr>
        <w:tc>
          <w:tcPr>
            <w:tcW w:type="dxa" w:w="9639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6: Меры при случайном высвобождении</w:t>
            </w:r>
          </w:p>
        </w:tc>
      </w:tr>
    </w:tbl>
    <w:p>
      <w:pPr>
        <w:spacing w:after="100" w:before="100"/>
      </w:pPr>
    </w:p>
    <w:p>
      <w:pPr>
        <w:spacing w:after="60" w:before="120"/>
      </w:pPr>
      <w:r>
        <w:rPr>
          <w:b/>
          <w:bCs/>
        </w:rPr>
        <w:t xml:space="preserve">6.1 Меры предосторожности для персонала, средства индивидуальной защиты и порядок действий в чрезвычайной ситуации</w:t>
      </w:r>
    </w:p>
    <w:p>
      <w:pPr>
        <w:spacing w:after="80"/>
      </w:pPr>
      <w:r>
        <w:t xml:space="preserve">Использовать средства индивидуальной защиты. Не допускать посторонних лиц.</w:t>
      </w:r>
    </w:p>
    <w:p>
      <w:pPr>
        <w:spacing w:after="60" w:before="120"/>
      </w:pPr>
      <w:r>
        <w:rPr>
          <w:b/>
          <w:bCs/>
        </w:rPr>
        <w:t xml:space="preserve">6.2 Меры предосторожности в отношении окружающей среды:</w:t>
      </w:r>
    </w:p>
    <w:p>
      <w:pPr>
        <w:spacing w:after="80"/>
      </w:pPr>
      <w:r>
        <w:t xml:space="preserve">Не допускать попадания в канализацию/поверхностные или грунтовые воды.</w:t>
      </w:r>
    </w:p>
    <w:p>
      <w:pPr>
        <w:spacing w:after="80"/>
      </w:pPr>
      <w:r>
        <w:t xml:space="preserve">В случае попадания в водоём или канализацию проинформировать соответствующие органы.</w:t>
      </w:r>
    </w:p>
    <w:p>
      <w:pPr>
        <w:spacing w:after="80"/>
      </w:pPr>
      <w:r>
        <w:t xml:space="preserve">Собирать загрязнённую промывочную воду и утилизировать надлежащим образом.</w:t>
      </w:r>
    </w:p>
    <w:p>
      <w:pPr>
        <w:spacing w:after="80"/>
      </w:pPr>
      <w:r>
        <w:t xml:space="preserve">В случае попадания в почву проинформировать ответственные органы.</w:t>
      </w:r>
    </w:p>
    <w:p>
      <w:pPr>
        <w:spacing w:after="60" w:before="120"/>
      </w:pPr>
      <w:r>
        <w:rPr>
          <w:b/>
          <w:bCs/>
        </w:rPr>
        <w:t xml:space="preserve">6.3 Методы и материалы для локализации и очистки</w:t>
      </w:r>
    </w:p>
    <w:p>
      <w:pPr>
        <w:spacing w:after="80"/>
      </w:pPr>
      <w:r>
        <w:t xml:space="preserve">Впитывать жидкость связывающим материалом (песок, диатомит, кислотосвязывающие вещества, универсальные связующие материалы, опилки).</w:t>
      </w:r>
    </w:p>
    <w:p>
      <w:pPr>
        <w:spacing w:after="60" w:before="120"/>
      </w:pPr>
      <w:r>
        <w:rPr>
          <w:b/>
          <w:bCs/>
        </w:rPr>
        <w:t xml:space="preserve">6.4 Ссылка на другие разделы</w:t>
      </w:r>
    </w:p>
    <w:p>
      <w:pPr>
        <w:spacing w:after="80"/>
      </w:pPr>
      <w:r>
        <w:t xml:space="preserve">См. раздел 7 для информации по безопасному обращению.</w:t>
      </w:r>
    </w:p>
    <w:p>
      <w:pPr>
        <w:spacing w:after="80"/>
      </w:pPr>
      <w:r>
        <w:t xml:space="preserve">См. раздел 8 для информации о средствах индивидуальной защиты.</w:t>
      </w:r>
    </w:p>
    <w:p>
      <w:pPr>
        <w:spacing w:after="80"/>
      </w:pPr>
      <w:r>
        <w:t xml:space="preserve">См. раздел 13 для информации по утилизации.</w:t>
      </w:r>
    </w:p>
    <w:tbl>
      <w:tblPr>
        <w:tblW w:type="dxa" w:w="9639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9"/>
      </w:tblGrid>
      <w:tr>
        <w:tc>
          <w:tcPr>
            <w:tcW w:type="dxa" w:w="9639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7: Обращение и хранение</w:t>
            </w:r>
          </w:p>
        </w:tc>
      </w:tr>
    </w:tbl>
    <w:p>
      <w:pPr>
        <w:spacing w:after="100" w:before="100"/>
      </w:pPr>
    </w:p>
    <w:p>
      <w:pPr>
        <w:spacing w:after="60" w:before="120"/>
      </w:pPr>
      <w:r>
        <w:rPr>
          <w:b/>
          <w:bCs/>
        </w:rPr>
        <w:t xml:space="preserve">7.1 Меры предосторожности для безопасного обращения</w:t>
      </w:r>
    </w:p>
    <w:p>
      <w:pPr>
        <w:spacing w:after="80"/>
      </w:pPr>
      <w:r>
        <w:t xml:space="preserve">Избегать контакта с глазами и кожей.</w:t>
      </w:r>
    </w:p>
    <w:p>
      <w:pPr>
        <w:spacing w:after="80"/>
      </w:pPr>
      <w:r>
        <w:t xml:space="preserve">Не допускать контакта с пищевыми продуктами, напитками и кормами.</w:t>
      </w:r>
    </w:p>
    <w:p>
      <w:pPr>
        <w:spacing w:after="80"/>
      </w:pPr>
      <w:r>
        <w:t xml:space="preserve">Лица, страдающие астмой, аллергией, хроническими или рецидивирующими заболеваниями дыхательных путей, не должны допускаться к работе с данным продуктом.</w:t>
      </w:r>
    </w:p>
    <w:p>
      <w:pPr>
        <w:spacing w:after="80"/>
      </w:pPr>
      <w:r>
        <w:t xml:space="preserve">Мыть руки перед перерывами и по окончании работы.</w:t>
      </w:r>
    </w:p>
    <w:p>
      <w:pPr>
        <w:spacing w:after="80"/>
      </w:pPr>
      <w:r>
        <w:rPr>
          <w:b/>
          <w:bCs/>
        </w:rPr>
        <w:t xml:space="preserve">Информация о пожаро- и взрывозащите: </w:t>
      </w:r>
      <w:r>
        <w:t xml:space="preserve">Особые меры не требуются.</w:t>
      </w:r>
    </w:p>
    <w:p>
      <w:pPr>
        <w:spacing w:after="60" w:before="120"/>
      </w:pPr>
      <w:r>
        <w:rPr>
          <w:b/>
          <w:bCs/>
        </w:rPr>
        <w:t xml:space="preserve">7.2 Условия для безопасного хранения, включая несовместимости</w:t>
      </w:r>
    </w:p>
    <w:p>
      <w:pPr>
        <w:spacing w:after="60" w:before="120"/>
      </w:pPr>
      <w:r>
        <w:rPr>
          <w:b/>
          <w:bCs/>
        </w:rPr>
        <w:t xml:space="preserve">Хранение:</w:t>
      </w:r>
    </w:p>
    <w:p>
      <w:pPr>
        <w:spacing w:after="80"/>
      </w:pPr>
      <w:r>
        <w:rPr>
          <w:b/>
          <w:bCs/>
        </w:rPr>
        <w:t xml:space="preserve">Требования к складским помещениям и ёмкостям: </w:t>
      </w:r>
      <w:r>
        <w:t xml:space="preserve">Особых требований нет.</w:t>
      </w:r>
    </w:p>
    <w:p>
      <w:pPr>
        <w:spacing w:after="80"/>
      </w:pPr>
      <w:r>
        <w:rPr>
          <w:b/>
          <w:bCs/>
        </w:rPr>
        <w:t xml:space="preserve">Информация о хранении в одном общем складском помещении: </w:t>
      </w:r>
      <w:r>
        <w:t xml:space="preserve">Не требуется</w:t>
      </w:r>
    </w:p>
    <w:p>
      <w:pPr>
        <w:spacing w:after="60" w:before="120"/>
      </w:pPr>
      <w:r>
        <w:rPr>
          <w:b/>
          <w:bCs/>
        </w:rPr>
        <w:t xml:space="preserve">Дополнительная информация об условиях хранения:</w:t>
      </w:r>
    </w:p>
    <w:p>
      <w:pPr>
        <w:spacing w:after="80"/>
      </w:pPr>
      <w:r>
        <w:t xml:space="preserve">Держать ёмкость плотно закрытой.</w:t>
      </w:r>
    </w:p>
    <w:p>
      <w:pPr>
        <w:spacing w:after="80"/>
      </w:pPr>
      <w:r>
        <w:t xml:space="preserve">Аккуратно закрывать открытые ёмкости и хранить в вертикальном положении для предотвращения утечки.</w:t>
      </w:r>
    </w:p>
    <w:p>
      <w:pPr>
        <w:spacing w:after="80"/>
      </w:pPr>
      <w:r>
        <w:rPr>
          <w:b/>
          <w:bCs/>
        </w:rPr>
        <w:t xml:space="preserve">7.3 Особые виды конечного использования </w:t>
      </w:r>
      <w:r>
        <w:t xml:space="preserve">Дополнительная значимая информация отсутствует.</w:t>
      </w:r>
    </w:p>
    <w:tbl>
      <w:tblPr>
        <w:tblW w:type="dxa" w:w="9639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9"/>
      </w:tblGrid>
      <w:tr>
        <w:tc>
          <w:tcPr>
            <w:tcW w:type="dxa" w:w="9639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8: Контроль воздействия / средства индивидуальной защиты</w:t>
            </w:r>
          </w:p>
        </w:tc>
      </w:tr>
    </w:tbl>
    <w:p>
      <w:pPr>
        <w:spacing w:after="100" w:before="100"/>
      </w:pPr>
    </w:p>
    <w:p>
      <w:pPr>
        <w:spacing w:after="60" w:before="120"/>
      </w:pPr>
      <w:r>
        <w:rPr>
          <w:b/>
          <w:bCs/>
        </w:rPr>
        <w:t xml:space="preserve">8.1 Параметры контроля</w:t>
      </w:r>
    </w:p>
    <w:p>
      <w:pPr>
        <w:spacing w:after="80"/>
      </w:pPr>
      <w:r>
        <w:rPr>
          <w:b/>
          <w:bCs/>
        </w:rPr>
        <w:t xml:space="preserve">Компоненты с предельными значениями, подлежащие контролю на рабочем месте: </w:t>
      </w:r>
      <w:r>
        <w:t xml:space="preserve">Продукт не содержит значимых количеств материалов с критическими значениями, подлежащими контролю на рабочем месте.</w:t>
      </w:r>
    </w:p>
    <w:p>
      <w:pPr>
        <w:spacing w:after="60" w:before="120"/>
      </w:pPr>
      <w:r>
        <w:rPr>
          <w:b/>
          <w:bCs/>
        </w:rPr>
        <w:t xml:space="preserve">8.2 Контроль воздействия</w:t>
      </w:r>
    </w:p>
    <w:p>
      <w:pPr>
        <w:spacing w:after="80"/>
      </w:pPr>
      <w:r>
        <w:rPr>
          <w:b/>
          <w:bCs/>
        </w:rPr>
        <w:t xml:space="preserve">Соответствующие технические меры контроля </w:t>
      </w:r>
      <w:r>
        <w:t xml:space="preserve">Дополнительных данных нет; см. раздел 7.</w:t>
      </w:r>
    </w:p>
    <w:p>
      <w:pPr>
        <w:spacing w:after="60" w:before="120"/>
      </w:pPr>
      <w:r>
        <w:rPr>
          <w:b/>
          <w:bCs/>
        </w:rPr>
        <w:t xml:space="preserve">Общие защитные и гигиенические меры:</w:t>
      </w:r>
    </w:p>
    <w:p>
      <w:pPr>
        <w:spacing w:after="80"/>
      </w:pPr>
      <w:r>
        <w:t xml:space="preserve">Немедленно снимать всю загрязнённую одежду</w:t>
      </w:r>
    </w:p>
    <w:p>
      <w:pPr>
        <w:spacing w:after="80"/>
      </w:pPr>
      <w:r>
        <w:t xml:space="preserve">Избегать контакта с глазами и кожей.</w:t>
      </w:r>
    </w:p>
    <w:p>
      <w:pPr>
        <w:spacing w:after="80"/>
      </w:pPr>
      <w:r>
        <w:t xml:space="preserve">Носить подходящую защитную одежду, перчатки и средства защиты глаз/лица.</w:t>
      </w:r>
    </w:p>
    <w:p>
      <w:pPr>
        <w:spacing w:after="80"/>
      </w:pPr>
      <w:r>
        <w:t xml:space="preserve">Не допускать контакта с пищевыми продуктами, напитками и кормами.</w:t>
      </w:r>
    </w:p>
    <w:p>
      <w:pPr>
        <w:spacing w:after="80"/>
      </w:pPr>
      <w:r>
        <w:t xml:space="preserve">Мыть руки перед перерывами и по окончании работы.</w:t>
      </w:r>
    </w:p>
    <w:p>
      <w:pPr>
        <w:spacing w:after="80"/>
      </w:pPr>
      <w:r>
        <w:rPr>
          <w:b/>
          <w:bCs/>
        </w:rPr>
        <w:t xml:space="preserve">Защита органов дыхания: </w:t>
      </w:r>
      <w:r>
        <w:t xml:space="preserve">Не требуется. Обеспечить хорошую вентиляцию помещения во время обработки.</w:t>
      </w:r>
    </w:p>
    <w:p>
      <w:pPr>
        <w:spacing w:after="60" w:before="120"/>
      </w:pPr>
      <w:r>
        <w:rPr>
          <w:b/>
          <w:bCs/>
        </w:rPr>
        <w:t xml:space="preserve">Защита рук</w:t>
      </w:r>
    </w:p>
    <w:p>
      <w:pPr>
        <w:spacing w:after="80"/>
      </w:pPr>
      <w:r>
        <w:t xml:space="preserve">Использовать перчатки из стойкого материала (например, нитрила) — при необходимости трикотажные для улучшения комфорта (EN 374)</w:t>
      </w:r>
    </w:p>
    <w:p>
      <w:pPr>
        <w:spacing w:after="80"/>
      </w:pPr>
      <w:r>
        <w:t xml:space="preserve">Перчатки следует немедленно утилизировать в случае сильного загрязнения, попадания брызг после указанного максимального времени ношения, но не позднее конца смены.</w:t>
      </w:r>
    </w:p>
    <w:p>
      <w:pPr>
        <w:spacing w:after="80"/>
      </w:pPr>
      <w:r>
        <w:rPr>
          <w:b/>
          <w:bCs/>
        </w:rPr>
        <w:t xml:space="preserve">Материал перчаток: </w:t>
      </w:r>
      <w:r>
        <w:t xml:space="preserve">Бутилкаучук, БК
Нитриловый каучук, НБК
Рекомендуемая толщина материала: ≥ 0,5 мм</w:t>
      </w:r>
    </w:p>
    <w:p>
      <w:pPr>
        <w:spacing w:after="80"/>
      </w:pPr>
      <w:r>
        <w:rPr>
          <w:b/>
          <w:bCs/>
        </w:rPr>
        <w:t xml:space="preserve">Время проникновения материала перчаток: </w:t>
      </w:r>
      <w:r>
        <w:t xml:space="preserve">Точное время прорыва должно быть установлено производителем защитных перчаток и соблюдаться.</w:t>
      </w:r>
    </w:p>
    <w:p>
      <w:pPr>
        <w:spacing w:after="80"/>
      </w:pPr>
      <w:r>
        <w:rPr>
          <w:b/>
          <w:bCs/>
        </w:rPr>
        <w:t xml:space="preserve">Защита глаз/лица: </w:t>
      </w:r>
      <w:r>
        <w:t xml:space="preserve">Плотно прилегающие защитные очки (EN 166)</w:t>
      </w:r>
    </w:p>
    <w:tbl>
      <w:tblPr>
        <w:tblW w:type="dxa" w:w="9639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9"/>
      </w:tblGrid>
      <w:tr>
        <w:tc>
          <w:tcPr>
            <w:tcW w:type="dxa" w:w="9639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9: Физические и химические свойства</w:t>
            </w:r>
          </w:p>
        </w:tc>
      </w:tr>
    </w:tbl>
    <w:p>
      <w:pPr>
        <w:spacing w:after="100" w:before="100"/>
      </w:pPr>
    </w:p>
    <w:p>
      <w:pPr>
        <w:spacing w:after="60" w:before="120"/>
      </w:pPr>
      <w:r>
        <w:rPr>
          <w:b/>
          <w:bCs/>
        </w:rPr>
        <w:t xml:space="preserve">9.1 Информация об основных физических и химических свойствах</w:t>
      </w:r>
    </w:p>
    <w:p>
      <w:pPr>
        <w:spacing w:after="60" w:before="120"/>
      </w:pPr>
      <w:r>
        <w:rPr>
          <w:b/>
          <w:bCs/>
        </w:rPr>
        <w:t xml:space="preserve">Общая информация</w:t>
      </w:r>
    </w:p>
    <w:tbl>
      <w:tblPr>
        <w:tblW w:type="dxa" w:w="963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820"/>
        <w:gridCol w:w="4819"/>
      </w:tblGrid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Физическое состояние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Жидкость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Цвет: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Светло-жёлтый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Запах: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Слабый, характерный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Порог восприятия запаха: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Не определён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Точка плавления/замерзания: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Не определена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Точка кипения или начальная точка кипения и диапазон кипения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Не определена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Воспламеняемость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Не применимо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Нижний предел взрываемости: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Не определён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Верхний предел взрываемости: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Не определён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Температура вспышки: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66 °C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Температура самовоспламенения: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465 °C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Температура разложения: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Не определена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pH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Не определён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Кинематическая вязкость при 20 °C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45 с (DIN 53211/4)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Динамическая вязкость: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Не определена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Растворимость в воде: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Не смешивается или трудно смешивается.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Коэффициент распределения н-октанол/вода (log)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Не определён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Давление паров: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Не определено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Плотность при 20 °C: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1,09 г/см³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Относительная плотность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Не определена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Плотность паров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Не определена</w:t>
            </w:r>
          </w:p>
        </w:tc>
      </w:tr>
    </w:tbl>
    <w:p>
      <w:pPr>
        <w:spacing w:after="100" w:before="100"/>
      </w:pPr>
    </w:p>
    <w:p>
      <w:pPr>
        <w:spacing w:after="60" w:before="120"/>
      </w:pPr>
      <w:r>
        <w:rPr>
          <w:b/>
          <w:bCs/>
        </w:rPr>
        <w:t xml:space="preserve">9.2 Прочая информация</w:t>
      </w:r>
    </w:p>
    <w:p>
      <w:pPr>
        <w:spacing w:after="80"/>
      </w:pPr>
      <w:r>
        <w:rPr>
          <w:b/>
          <w:bCs/>
        </w:rPr>
        <w:t xml:space="preserve">Форма: </w:t>
      </w:r>
      <w:r>
        <w:t xml:space="preserve">Жидкая</w:t>
      </w:r>
    </w:p>
    <w:p>
      <w:pPr>
        <w:spacing w:after="80"/>
      </w:pPr>
      <w:r>
        <w:rPr>
          <w:b/>
          <w:bCs/>
        </w:rPr>
        <w:t xml:space="preserve">Температура воспламенения: </w:t>
      </w:r>
      <w:r>
        <w:t xml:space="preserve">Продукт не является самовоспламеняющимся.</w:t>
      </w:r>
    </w:p>
    <w:p>
      <w:pPr>
        <w:spacing w:after="80"/>
      </w:pPr>
      <w:r>
        <w:rPr>
          <w:b/>
          <w:bCs/>
        </w:rPr>
        <w:t xml:space="preserve">Взрывоопасные свойства: </w:t>
      </w:r>
      <w:r>
        <w:t xml:space="preserve">Продукт не представляет взрывоопасности.</w:t>
      </w:r>
    </w:p>
    <w:p>
      <w:pPr>
        <w:spacing w:after="80"/>
      </w:pPr>
      <w:r>
        <w:rPr>
          <w:b/>
          <w:bCs/>
        </w:rPr>
        <w:t xml:space="preserve">Скорость испарения </w:t>
      </w:r>
      <w:r>
        <w:t xml:space="preserve">Не определена</w:t>
      </w:r>
    </w:p>
    <w:p>
      <w:pPr>
        <w:spacing w:after="60" w:before="120"/>
      </w:pPr>
      <w:r>
        <w:rPr>
          <w:b/>
          <w:bCs/>
        </w:rPr>
        <w:t xml:space="preserve">Информация в отношении классов физической опасности</w:t>
      </w:r>
    </w:p>
    <w:p>
      <w:pPr>
        <w:spacing w:after="80"/>
      </w:pPr>
      <w:r>
        <w:rPr>
          <w:b/>
          <w:bCs/>
        </w:rPr>
        <w:t xml:space="preserve">Взрывчатые вещества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Легковоспламеняющиеся газы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Аэрозоли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Окисляющие газы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Газы под давлением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Легковоспламеняющиеся жидкости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Легковоспламеняющиеся твёрдые вещества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Саморазлагающиеся вещества и смеси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Пирофорные жидкости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Пирофорные твёрдые вещества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Самонагревающиеся вещества и смеси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Вещества и смеси, выделяющие легковоспламеняющиеся газы при контакте с водой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Окисляющие жидкости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Окисляющие твёрдые вещества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Органические пероксиды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Коррозионность в отношении металлов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Десенсибилизированные взрывчатые вещества </w:t>
      </w:r>
      <w:r>
        <w:t xml:space="preserve">Не применимо (Void)</w:t>
      </w:r>
    </w:p>
    <w:tbl>
      <w:tblPr>
        <w:tblW w:type="dxa" w:w="9639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9"/>
      </w:tblGrid>
      <w:tr>
        <w:tc>
          <w:tcPr>
            <w:tcW w:type="dxa" w:w="9639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10: Стабильность и реакционная способность</w:t>
            </w:r>
          </w:p>
        </w:tc>
      </w:tr>
    </w:tbl>
    <w:p>
      <w:pPr>
        <w:spacing w:after="100" w:before="100"/>
      </w:pPr>
    </w:p>
    <w:p>
      <w:pPr>
        <w:spacing w:after="80"/>
      </w:pPr>
      <w:r>
        <w:rPr>
          <w:b/>
          <w:bCs/>
        </w:rPr>
        <w:t xml:space="preserve">10.1 Реакционная способность </w:t>
      </w:r>
      <w:r>
        <w:t xml:space="preserve">Дополнительная значимая информация отсутствует.</w:t>
      </w:r>
    </w:p>
    <w:p>
      <w:pPr>
        <w:spacing w:after="80"/>
      </w:pPr>
      <w:r>
        <w:rPr>
          <w:b/>
          <w:bCs/>
        </w:rPr>
        <w:t xml:space="preserve">10.2 Химическая стабильность </w:t>
      </w:r>
      <w:r>
        <w:t xml:space="preserve">Стабилен при нормальных условиях.</w:t>
      </w:r>
    </w:p>
    <w:p>
      <w:pPr>
        <w:spacing w:after="80"/>
      </w:pPr>
      <w:r>
        <w:rPr>
          <w:b/>
          <w:bCs/>
        </w:rPr>
        <w:t xml:space="preserve">Термическое разложение / условия, которых следует избегать: </w:t>
      </w:r>
      <w:r>
        <w:t xml:space="preserve">Начиная примерно с 260 °C — полимеризация и выделение CO₂.</w:t>
      </w:r>
    </w:p>
    <w:p>
      <w:pPr>
        <w:spacing w:after="80"/>
      </w:pPr>
      <w:r>
        <w:rPr>
          <w:b/>
          <w:bCs/>
        </w:rPr>
        <w:t xml:space="preserve">10.3 Возможность опасных реакций </w:t>
      </w:r>
      <w:r>
        <w:t xml:space="preserve">Продукт медленно реагирует с водой с выделением углекислого газа. В закрытых ёмкостях повышение давления может привести к деформации, вздутию, а в крайних случаях — к разрыву ёмкости.</w:t>
      </w:r>
    </w:p>
    <w:p>
      <w:pPr>
        <w:spacing w:after="80"/>
      </w:pPr>
      <w:r>
        <w:rPr>
          <w:b/>
          <w:bCs/>
        </w:rPr>
        <w:t xml:space="preserve">10.4 Условия, которых следует избегать </w:t>
      </w:r>
      <w:r>
        <w:t xml:space="preserve">Дополнительная значимая информация отсутствует.</w:t>
      </w:r>
    </w:p>
    <w:p>
      <w:pPr>
        <w:spacing w:after="80"/>
      </w:pPr>
      <w:r>
        <w:rPr>
          <w:b/>
          <w:bCs/>
        </w:rPr>
        <w:t xml:space="preserve">10.5 Несовместимые материалы: </w:t>
      </w:r>
      <w:r>
        <w:t xml:space="preserve">Неконтролируемые экзотермические реакции происходят с аминами и спиртами. При хранении избегать контакта с влагой.</w:t>
      </w:r>
    </w:p>
    <w:p>
      <w:pPr>
        <w:spacing w:after="80"/>
      </w:pPr>
      <w:r>
        <w:rPr>
          <w:b/>
          <w:bCs/>
        </w:rPr>
        <w:t xml:space="preserve">10.6 Опасные продукты разложения: </w:t>
      </w:r>
      <w:r>
        <w:t xml:space="preserve">При пожаре могут образовываться опасные продукты разложения, такие как дым, оксид углерода, диоксид углерода, оксиды азота, цианистый водород, мономерные изоцианаты, амины и спирты.</w:t>
      </w:r>
    </w:p>
    <w:tbl>
      <w:tblPr>
        <w:tblW w:type="dxa" w:w="9639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9"/>
      </w:tblGrid>
      <w:tr>
        <w:tc>
          <w:tcPr>
            <w:tcW w:type="dxa" w:w="9639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11: Токсикологическая информация</w:t>
            </w:r>
          </w:p>
        </w:tc>
      </w:tr>
    </w:tbl>
    <w:p>
      <w:pPr>
        <w:spacing w:after="100" w:before="100"/>
      </w:pPr>
    </w:p>
    <w:p>
      <w:pPr>
        <w:spacing w:after="60" w:before="120"/>
      </w:pPr>
      <w:r>
        <w:rPr>
          <w:b/>
          <w:bCs/>
        </w:rPr>
        <w:t xml:space="preserve">11.1 Информация о классах опасности согласно Регламенту (ЕС) № 1272/2008</w:t>
      </w:r>
    </w:p>
    <w:p>
      <w:pPr>
        <w:spacing w:after="80"/>
      </w:pPr>
      <w:r>
        <w:rPr>
          <w:b/>
          <w:bCs/>
        </w:rPr>
        <w:t xml:space="preserve">Острая токсичность </w:t>
      </w:r>
      <w:r>
        <w:t xml:space="preserve">Вредно при вдыхании.</w:t>
      </w:r>
    </w:p>
    <w:p>
      <w:pPr>
        <w:spacing w:after="60" w:before="120"/>
      </w:pPr>
      <w:r>
        <w:rPr>
          <w:b/>
          <w:bCs/>
        </w:rPr>
        <w:t xml:space="preserve">Значения LD/LC50, значимые для классификации:</w:t>
      </w:r>
    </w:p>
    <w:p>
      <w:pPr>
        <w:spacing w:after="80"/>
      </w:pPr>
      <w:r>
        <w:t xml:space="preserve">CAS: 160994-68-3 Гидрофильный алифатический полиизоцианат</w:t>
      </w:r>
    </w:p>
    <w:p>
      <w:pPr>
        <w:spacing w:after="80"/>
      </w:pPr>
      <w:r>
        <w:t xml:space="preserve">Оральная LD50 &gt;2 000 мг/кг (крыса)</w:t>
      </w:r>
    </w:p>
    <w:p>
      <w:pPr>
        <w:spacing w:after="80"/>
      </w:pPr>
      <w:r>
        <w:t xml:space="preserve">Дермальная LD50 &gt;2 000 мг/кг (крыса)</w:t>
      </w:r>
    </w:p>
    <w:p>
      <w:pPr>
        <w:spacing w:after="80"/>
      </w:pPr>
      <w:r>
        <w:t xml:space="preserve">CAS: 666723-27-9 Гидрофильный алифатический полиизоцианат</w:t>
      </w:r>
    </w:p>
    <w:p>
      <w:pPr>
        <w:spacing w:after="80"/>
      </w:pPr>
      <w:r>
        <w:t xml:space="preserve">Оральная LD50 ≥5 000 мг/кг (крыса) (OECD 423)</w:t>
      </w:r>
    </w:p>
    <w:p>
      <w:pPr>
        <w:spacing w:after="80"/>
      </w:pPr>
      <w:r>
        <w:t xml:space="preserve">Дермальная LD50 &gt;2 000 мг/кг (крыса) (OECD 402)</w:t>
      </w:r>
    </w:p>
    <w:p>
      <w:pPr>
        <w:spacing w:after="80"/>
      </w:pPr>
      <w:r>
        <w:t xml:space="preserve">CAS: 822-06-0 Гексаметилен-диизоцианат</w:t>
      </w:r>
    </w:p>
    <w:p>
      <w:pPr>
        <w:spacing w:after="80"/>
      </w:pPr>
      <w:r>
        <w:t xml:space="preserve">Оральная LD50 959 мг/кг (крыса) (руководство OECD 401)</w:t>
      </w:r>
    </w:p>
    <w:p>
      <w:pPr>
        <w:spacing w:after="80"/>
      </w:pPr>
      <w:r>
        <w:t xml:space="preserve">Дермальная LD50 &gt;7 000 мг/кг (крыса) (руководство OECD 402)</w:t>
      </w:r>
    </w:p>
    <w:p>
      <w:pPr>
        <w:spacing w:after="80"/>
      </w:pPr>
      <w:r>
        <w:t xml:space="preserve">Ингаляционная LC50/4ч 0,124 мг/л (крыса) (руководство OECD 403)</w:t>
      </w:r>
    </w:p>
    <w:p>
      <w:pPr>
        <w:spacing w:after="60" w:before="120"/>
      </w:pPr>
      <w:r>
        <w:rPr>
          <w:b/>
          <w:bCs/>
        </w:rPr>
        <w:t xml:space="preserve">Первичное раздражающее действие:</w:t>
      </w:r>
    </w:p>
    <w:p>
      <w:pPr>
        <w:spacing w:after="80"/>
      </w:pPr>
      <w:r>
        <w:rPr>
          <w:b/>
          <w:bCs/>
        </w:rPr>
        <w:t xml:space="preserve">Коррозия/раздражение кожи </w:t>
      </w:r>
      <w:r>
        <w:t xml:space="preserve">Возможен слабый раздражающий эффект. На основании имеющихся данных критерии классификации не выполняются.</w:t>
      </w:r>
    </w:p>
    <w:p>
      <w:pPr>
        <w:spacing w:after="80"/>
      </w:pPr>
      <w:r>
        <w:rPr>
          <w:b/>
          <w:bCs/>
        </w:rPr>
        <w:t xml:space="preserve">Серьёзное повреждение глаз/раздражение </w:t>
      </w:r>
      <w:r>
        <w:t xml:space="preserve">На основании имеющихся данных критерии классификации не выполняются.</w:t>
      </w:r>
    </w:p>
    <w:p>
      <w:pPr>
        <w:spacing w:after="80"/>
      </w:pPr>
      <w:r>
        <w:rPr>
          <w:b/>
          <w:bCs/>
        </w:rPr>
        <w:t xml:space="preserve">Сенсибилизация дыхательных путей или кожи </w:t>
      </w:r>
      <w:r>
        <w:t xml:space="preserve">Может вызывать аллергическую кожную реакцию.</w:t>
      </w:r>
    </w:p>
    <w:p>
      <w:pPr>
        <w:spacing w:after="80"/>
      </w:pPr>
      <w:r>
        <w:rPr>
          <w:b/>
          <w:bCs/>
        </w:rPr>
        <w:t xml:space="preserve">Мутагенность зародышевых клеток </w:t>
      </w:r>
      <w:r>
        <w:t xml:space="preserve">На основании имеющихся данных критерии классификации не выполняются.</w:t>
      </w:r>
    </w:p>
    <w:p>
      <w:pPr>
        <w:spacing w:after="80"/>
      </w:pPr>
      <w:r>
        <w:rPr>
          <w:b/>
          <w:bCs/>
        </w:rPr>
        <w:t xml:space="preserve">Канцерогенность </w:t>
      </w:r>
      <w:r>
        <w:t xml:space="preserve">На основании имеющихся данных критерии классификации не выполняются.</w:t>
      </w:r>
    </w:p>
    <w:p>
      <w:pPr>
        <w:spacing w:after="80"/>
      </w:pPr>
      <w:r>
        <w:rPr>
          <w:b/>
          <w:bCs/>
        </w:rPr>
        <w:t xml:space="preserve">Репродуктивная токсичность </w:t>
      </w:r>
      <w:r>
        <w:t xml:space="preserve">На основании имеющихся данных критерии классификации не выполняются.</w:t>
      </w:r>
    </w:p>
    <w:p>
      <w:pPr>
        <w:spacing w:after="80"/>
      </w:pPr>
      <w:r>
        <w:rPr>
          <w:b/>
          <w:bCs/>
        </w:rPr>
        <w:t xml:space="preserve">Специфическая токсичность на органы-мишени (однократное воздействие) </w:t>
      </w:r>
      <w:r>
        <w:t xml:space="preserve">Может вызывать раздражение дыхательных путей.</w:t>
      </w:r>
    </w:p>
    <w:p>
      <w:pPr>
        <w:spacing w:after="80"/>
      </w:pPr>
      <w:r>
        <w:rPr>
          <w:b/>
          <w:bCs/>
        </w:rPr>
        <w:t xml:space="preserve">Специфическая токсичность на органы-мишени (повторное воздействие) </w:t>
      </w:r>
      <w:r>
        <w:t xml:space="preserve">На основании имеющихся данных критерии классификации не выполняются.</w:t>
      </w:r>
    </w:p>
    <w:p>
      <w:pPr>
        <w:spacing w:after="80"/>
      </w:pPr>
      <w:r>
        <w:rPr>
          <w:b/>
          <w:bCs/>
        </w:rPr>
        <w:t xml:space="preserve">Опасность при аспирации </w:t>
      </w:r>
      <w:r>
        <w:t xml:space="preserve">На основании имеющихся данных критерии классификации не выполняются.</w:t>
      </w:r>
    </w:p>
    <w:p>
      <w:pPr>
        <w:spacing w:after="60" w:before="120"/>
      </w:pPr>
      <w:r>
        <w:rPr>
          <w:b/>
          <w:bCs/>
        </w:rPr>
        <w:t xml:space="preserve">Дополнительная токсикологическая информация:</w:t>
      </w:r>
    </w:p>
    <w:p>
      <w:pPr>
        <w:spacing w:after="80"/>
      </w:pPr>
      <w:r>
        <w:t xml:space="preserve">С учётом свойств изоцианатных компонентов и токсикологических данных по аналогичным составам, данный состав может вызывать острое раздражение и/или сенсибилизацию дыхательной системы, приводящую к астматическому состоянию, свистящему дыханию и стеснению в груди. У сенсибилизированных лиц впоследствии могут проявляться астматические симптомы при воздействии концентраций значительно ниже предельно допустимых. Повторное воздействие может привести к постоянной дыхательной недостаточности.</w:t>
      </w:r>
    </w:p>
    <w:p>
      <w:pPr>
        <w:spacing w:after="60" w:before="120"/>
      </w:pPr>
      <w:r>
        <w:rPr>
          <w:b/>
          <w:bCs/>
        </w:rPr>
        <w:t xml:space="preserve">11.2 Информация о прочих опасностях</w:t>
      </w:r>
    </w:p>
    <w:p>
      <w:pPr>
        <w:spacing w:after="80"/>
      </w:pPr>
      <w:r>
        <w:rPr>
          <w:b/>
          <w:bCs/>
        </w:rPr>
        <w:t xml:space="preserve">Свойства эндокринных разрушителей </w:t>
      </w:r>
      <w:r>
        <w:t xml:space="preserve">Ни один из компонентов не включён в список.</w:t>
      </w:r>
    </w:p>
    <w:tbl>
      <w:tblPr>
        <w:tblW w:type="dxa" w:w="9639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9"/>
      </w:tblGrid>
      <w:tr>
        <w:tc>
          <w:tcPr>
            <w:tcW w:type="dxa" w:w="9639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12: Экологическая информация</w:t>
            </w:r>
          </w:p>
        </w:tc>
      </w:tr>
    </w:tbl>
    <w:p>
      <w:pPr>
        <w:spacing w:after="100" w:before="100"/>
      </w:pPr>
    </w:p>
    <w:p>
      <w:pPr>
        <w:spacing w:after="60" w:before="120"/>
      </w:pPr>
      <w:r>
        <w:rPr>
          <w:b/>
          <w:bCs/>
        </w:rPr>
        <w:t xml:space="preserve">12.1 Токсичность</w:t>
      </w:r>
    </w:p>
    <w:p>
      <w:pPr>
        <w:spacing w:after="60" w:before="120"/>
      </w:pPr>
      <w:r>
        <w:rPr>
          <w:b/>
          <w:bCs/>
        </w:rPr>
        <w:t xml:space="preserve">Токсичность для водных организмов:</w:t>
      </w:r>
    </w:p>
    <w:p>
      <w:pPr>
        <w:spacing w:after="80"/>
      </w:pPr>
      <w:r>
        <w:t xml:space="preserve">CAS: 160994-68-3 Гидрофильный алифатический полиизоцианат</w:t>
      </w:r>
    </w:p>
    <w:p>
      <w:pPr>
        <w:spacing w:after="80"/>
      </w:pPr>
      <w:r>
        <w:t xml:space="preserve">EC50/48ч &gt;100 мг/л (Daphnia magna)</w:t>
      </w:r>
    </w:p>
    <w:p>
      <w:pPr>
        <w:spacing w:after="80"/>
      </w:pPr>
      <w:r>
        <w:t xml:space="preserve">LC50/96ч 28,3 мг/л (Danio rerio)</w:t>
      </w:r>
    </w:p>
    <w:p>
      <w:pPr>
        <w:spacing w:after="80"/>
      </w:pPr>
      <w:r>
        <w:t xml:space="preserve">CAS: 666723-27-9 Гидрофильный алифатический полиизоцианат</w:t>
      </w:r>
    </w:p>
    <w:p>
      <w:pPr>
        <w:spacing w:after="80"/>
      </w:pPr>
      <w:r>
        <w:t xml:space="preserve">EC50/48ч &gt;100 мг/л (Daphnia magna)</w:t>
      </w:r>
    </w:p>
    <w:p>
      <w:pPr>
        <w:spacing w:after="80"/>
      </w:pPr>
      <w:r>
        <w:t xml:space="preserve">LC50/96ч 35,2 мг/л (Danio rerio)</w:t>
      </w:r>
    </w:p>
    <w:p>
      <w:pPr>
        <w:spacing w:after="80"/>
      </w:pPr>
      <w:r>
        <w:t xml:space="preserve">CAS: 822-06-0 Гексаметилен-диизоцианат</w:t>
      </w:r>
    </w:p>
    <w:p>
      <w:pPr>
        <w:spacing w:after="80"/>
      </w:pPr>
      <w:r>
        <w:t xml:space="preserve">EC50/48ч &gt;100 мг/л (Daphnia magna)</w:t>
      </w:r>
    </w:p>
    <w:p>
      <w:pPr>
        <w:spacing w:after="80"/>
      </w:pPr>
      <w:r>
        <w:t xml:space="preserve">LC50/96ч 22 мг/л (Danio rerio)</w:t>
      </w:r>
    </w:p>
    <w:p>
      <w:pPr>
        <w:spacing w:after="80"/>
      </w:pPr>
      <w:r>
        <w:rPr>
          <w:b/>
          <w:bCs/>
        </w:rPr>
        <w:t xml:space="preserve">12.2 Стойкость и разлагаемость </w:t>
      </w:r>
      <w:r>
        <w:t xml:space="preserve">Дополнительная значимая информация отсутствует.</w:t>
      </w:r>
    </w:p>
    <w:p>
      <w:pPr>
        <w:spacing w:after="80"/>
      </w:pPr>
      <w:r>
        <w:rPr>
          <w:b/>
          <w:bCs/>
        </w:rPr>
        <w:t xml:space="preserve">12.3 Биоаккумулятивный потенциал </w:t>
      </w:r>
      <w:r>
        <w:t xml:space="preserve">Дополнительная значимая информация отсутствует.</w:t>
      </w:r>
    </w:p>
    <w:p>
      <w:pPr>
        <w:spacing w:after="80"/>
      </w:pPr>
      <w:r>
        <w:rPr>
          <w:b/>
          <w:bCs/>
        </w:rPr>
        <w:t xml:space="preserve">12.4 Мобильность в почве </w:t>
      </w:r>
      <w: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</w:rPr>
        <w:t xml:space="preserve">12.5 Результаты оценки СБТ и оСБсБ</w:t>
      </w:r>
    </w:p>
    <w:p>
      <w:pPr>
        <w:spacing w:after="80"/>
      </w:pPr>
      <w:r>
        <w:rPr>
          <w:b/>
          <w:bCs/>
        </w:rPr>
        <w:t xml:space="preserve">СБТ: </w:t>
      </w:r>
      <w:r>
        <w:t xml:space="preserve">Данное вещество/смесь не содержит компонентов, которые могут считаться стойкими, биоаккумулятивными и токсичными (СБТ).</w:t>
      </w:r>
    </w:p>
    <w:p>
      <w:pPr>
        <w:spacing w:after="80"/>
      </w:pPr>
      <w:r>
        <w:rPr>
          <w:b/>
          <w:bCs/>
        </w:rPr>
        <w:t xml:space="preserve">оСБсБ: </w:t>
      </w:r>
      <w:r>
        <w:t xml:space="preserve">Данное вещество/смесь не содержит компонентов, которые могут считаться очень стойкими и очень биоаккумулятивными (оСБсБ), в концентрациях 0,1%.</w:t>
      </w:r>
    </w:p>
    <w:p>
      <w:pPr>
        <w:spacing w:after="60" w:before="120"/>
      </w:pPr>
      <w:r>
        <w:rPr>
          <w:b/>
          <w:bCs/>
        </w:rPr>
        <w:t xml:space="preserve">12.6 Свойства эндокринных разрушителей</w:t>
      </w:r>
    </w:p>
    <w:p>
      <w:pPr>
        <w:spacing w:after="80"/>
      </w:pPr>
      <w:r>
        <w:t xml:space="preserve">Продукт не содержит веществ, обладающих свойствами эндокринных разрушителей.</w:t>
      </w:r>
    </w:p>
    <w:p>
      <w:pPr>
        <w:spacing w:after="60" w:before="120"/>
      </w:pPr>
      <w:r>
        <w:rPr>
          <w:b/>
          <w:bCs/>
        </w:rPr>
        <w:t xml:space="preserve">12.7 Прочие неблагоприятные эффекты</w:t>
      </w:r>
    </w:p>
    <w:p>
      <w:pPr>
        <w:spacing w:after="80"/>
      </w:pPr>
      <w:r>
        <w:rPr>
          <w:b/>
          <w:bCs/>
        </w:rPr>
        <w:t xml:space="preserve">Примечание: </w:t>
      </w:r>
      <w:r>
        <w:t xml:space="preserve">Вредно для рыб</w:t>
      </w:r>
    </w:p>
    <w:p>
      <w:pPr>
        <w:spacing w:after="60" w:before="120"/>
      </w:pPr>
      <w:r>
        <w:rPr>
          <w:b/>
          <w:bCs/>
        </w:rPr>
        <w:t xml:space="preserve">Дополнительная экологическая информация:</w:t>
      </w:r>
    </w:p>
    <w:p>
      <w:pPr>
        <w:spacing w:after="60" w:before="120"/>
      </w:pPr>
      <w:r>
        <w:rPr>
          <w:b/>
          <w:bCs/>
        </w:rPr>
        <w:t xml:space="preserve">Общие указания:</w:t>
      </w:r>
    </w:p>
    <w:p>
      <w:pPr>
        <w:spacing w:after="80"/>
      </w:pPr>
      <w:r>
        <w:t xml:space="preserve">Вредно для водных организмов</w:t>
      </w:r>
    </w:p>
    <w:p>
      <w:pPr>
        <w:spacing w:after="80"/>
      </w:pPr>
      <w:r>
        <w:t xml:space="preserve">Не допускать попадания продукта в грунтовые воды, водоёмы или канализацию.</w:t>
      </w:r>
    </w:p>
    <w:tbl>
      <w:tblPr>
        <w:tblW w:type="dxa" w:w="9639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9"/>
      </w:tblGrid>
      <w:tr>
        <w:tc>
          <w:tcPr>
            <w:tcW w:type="dxa" w:w="9639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13: Рекомендации по утилизации</w:t>
            </w:r>
          </w:p>
        </w:tc>
      </w:tr>
    </w:tbl>
    <w:p>
      <w:pPr>
        <w:spacing w:after="100" w:before="100"/>
      </w:pPr>
    </w:p>
    <w:p>
      <w:pPr>
        <w:spacing w:after="60" w:before="120"/>
      </w:pPr>
      <w:r>
        <w:rPr>
          <w:b/>
          <w:bCs/>
        </w:rPr>
        <w:t xml:space="preserve">13.1 Методы обработки отходов</w:t>
      </w:r>
    </w:p>
    <w:p>
      <w:pPr>
        <w:spacing w:after="60" w:before="120"/>
      </w:pPr>
      <w:r>
        <w:rPr>
          <w:b/>
          <w:bCs/>
        </w:rPr>
        <w:t xml:space="preserve">Рекомендация</w:t>
      </w:r>
    </w:p>
    <w:p>
      <w:pPr>
        <w:spacing w:after="80"/>
      </w:pPr>
      <w:r>
        <w:t xml:space="preserve">Продукт содержит вещества, вредные для окружающей среды.</w:t>
      </w:r>
    </w:p>
    <w:p>
      <w:pPr>
        <w:spacing w:after="80"/>
      </w:pPr>
      <w:r>
        <w:t xml:space="preserve">Не допускать попадания продукта в грунтовые воды, водоёмы или канализацию.</w:t>
      </w:r>
    </w:p>
    <w:p>
      <w:pPr>
        <w:spacing w:after="80"/>
      </w:pPr>
      <w:r>
        <w:t xml:space="preserve">Утилизация должна производиться в соответствии с местным, региональным или национальным законодательством.</w:t>
      </w:r>
    </w:p>
    <w:p>
      <w:pPr>
        <w:spacing w:after="60" w:before="120"/>
      </w:pPr>
      <w:r>
        <w:rPr>
          <w:b/>
          <w:bCs/>
        </w:rPr>
        <w:t xml:space="preserve">Загрязнённая упаковка:</w:t>
      </w:r>
    </w:p>
    <w:p>
      <w:pPr>
        <w:spacing w:after="80"/>
      </w:pPr>
      <w:r>
        <w:rPr>
          <w:b/>
          <w:bCs/>
        </w:rPr>
        <w:t xml:space="preserve">Рекомендация: </w:t>
      </w:r>
      <w:r>
        <w:t xml:space="preserve">Полностью опорожнить загрязнённую упаковку. После тщательной и надлежащей очистки её можно сдать на переработку.</w:t>
      </w:r>
    </w:p>
    <w:tbl>
      <w:tblPr>
        <w:tblW w:type="dxa" w:w="9639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9"/>
      </w:tblGrid>
      <w:tr>
        <w:tc>
          <w:tcPr>
            <w:tcW w:type="dxa" w:w="9639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14: Транспортная информация</w:t>
            </w:r>
          </w:p>
        </w:tc>
      </w:tr>
    </w:tbl>
    <w:p>
      <w:pPr>
        <w:spacing w:after="100" w:before="100"/>
      </w:pPr>
    </w:p>
    <w:p>
      <w:pPr>
        <w:spacing w:after="80"/>
      </w:pPr>
      <w:r>
        <w:rPr>
          <w:b/>
          <w:bCs/>
        </w:rPr>
        <w:t xml:space="preserve">14.1 Номер ООН или идентификационный номер — ADR, IMDG, IATA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14.2 Надлежащее транспортное наименование ООН — ADR, IMDG, IATA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14.3 Класс(ы) транспортной опасности — ADR, ADN, IMDG, IATA, Класс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14.4 Группа упаковки — ADR, IMDG, IATA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14.5 Опасности для окружающей среды — Загрязнитель морской среды: </w:t>
      </w:r>
      <w:r>
        <w:t xml:space="preserve">Нет</w:t>
      </w:r>
    </w:p>
    <w:p>
      <w:pPr>
        <w:spacing w:after="80"/>
      </w:pPr>
      <w:r>
        <w:rPr>
          <w:b/>
          <w:bCs/>
        </w:rPr>
        <w:t xml:space="preserve">14.6 Особые меры предосторожности для пользователя </w:t>
      </w:r>
      <w:r>
        <w:t xml:space="preserve">Не применимо.</w:t>
      </w:r>
    </w:p>
    <w:p>
      <w:pPr>
        <w:spacing w:after="80"/>
      </w:pPr>
      <w:r>
        <w:rPr>
          <w:b/>
          <w:bCs/>
        </w:rPr>
        <w:t xml:space="preserve">14.7 Морская перевозка навалом согласно документам ИМО </w:t>
      </w:r>
      <w:r>
        <w:t xml:space="preserve">Не применимо.</w:t>
      </w:r>
    </w:p>
    <w:p>
      <w:pPr>
        <w:spacing w:after="80"/>
      </w:pPr>
      <w:r>
        <w:rPr>
          <w:b/>
          <w:bCs/>
        </w:rPr>
        <w:t xml:space="preserve">Транспорт/Дополнительная информация: </w:t>
      </w:r>
      <w:r>
        <w:t xml:space="preserve">Не является опасным согласно указанным выше характеристикам.</w:t>
      </w:r>
    </w:p>
    <w:p>
      <w:pPr>
        <w:spacing w:after="80"/>
      </w:pPr>
      <w:r>
        <w:rPr>
          <w:b/>
          <w:bCs/>
        </w:rPr>
        <w:t xml:space="preserve">«Модельные правила» ООН: </w:t>
      </w:r>
      <w:r>
        <w:t xml:space="preserve">Не применимо (Void)</w:t>
      </w:r>
    </w:p>
    <w:tbl>
      <w:tblPr>
        <w:tblW w:type="dxa" w:w="9639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9"/>
      </w:tblGrid>
      <w:tr>
        <w:tc>
          <w:tcPr>
            <w:tcW w:type="dxa" w:w="9639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15: Нормативная информация</w:t>
            </w:r>
          </w:p>
        </w:tc>
      </w:tr>
    </w:tbl>
    <w:p>
      <w:pPr>
        <w:spacing w:after="100" w:before="100"/>
      </w:pPr>
    </w:p>
    <w:p>
      <w:pPr>
        <w:spacing w:after="60" w:before="120"/>
      </w:pPr>
      <w:r>
        <w:rPr>
          <w:b/>
          <w:bCs/>
        </w:rPr>
        <w:t xml:space="preserve">15.1 Нормы безопасности, охраны здоровья и окружающей среды/законодательство, специфичное для вещества или смеси</w:t>
      </w:r>
    </w:p>
    <w:p>
      <w:pPr>
        <w:spacing w:after="60" w:before="120"/>
      </w:pPr>
      <w:r>
        <w:rPr>
          <w:b/>
          <w:bCs/>
        </w:rPr>
        <w:t xml:space="preserve">Закон о ядах (Poisons Act)</w:t>
      </w:r>
    </w:p>
    <w:p>
      <w:pPr>
        <w:spacing w:after="80"/>
      </w:pPr>
      <w:r>
        <w:rPr>
          <w:b/>
          <w:bCs/>
        </w:rPr>
        <w:t xml:space="preserve">Регулируемые прекурсоры взрывчатых веществ </w:t>
      </w:r>
      <w:r>
        <w:t xml:space="preserve">Ни один из компонентов не включён в список.</w:t>
      </w:r>
    </w:p>
    <w:p>
      <w:pPr>
        <w:spacing w:after="80"/>
      </w:pPr>
      <w:r>
        <w:rPr>
          <w:b/>
          <w:bCs/>
        </w:rPr>
        <w:t xml:space="preserve">Регулируемые яды </w:t>
      </w:r>
      <w:r>
        <w:t xml:space="preserve">Ни один из компонентов не включён в список.</w:t>
      </w:r>
    </w:p>
    <w:p>
      <w:pPr>
        <w:spacing w:after="80"/>
      </w:pPr>
      <w:r>
        <w:rPr>
          <w:b/>
          <w:bCs/>
        </w:rPr>
        <w:t xml:space="preserve">Прекурсоры взрывчатых веществ, подлежащие отчётности </w:t>
      </w:r>
      <w:r>
        <w:t xml:space="preserve">Ни один из компонентов не включён в список.</w:t>
      </w:r>
    </w:p>
    <w:p>
      <w:pPr>
        <w:spacing w:after="80"/>
      </w:pPr>
      <w:r>
        <w:rPr>
          <w:b/>
          <w:bCs/>
        </w:rPr>
        <w:t xml:space="preserve">Яды, подлежащие отчётности </w:t>
      </w:r>
      <w:r>
        <w:t xml:space="preserve">Ни один из компонентов не включён в список.</w:t>
      </w:r>
    </w:p>
    <w:p>
      <w:pPr>
        <w:spacing w:after="60" w:before="120"/>
      </w:pPr>
      <w:r>
        <w:rPr>
          <w:b/>
          <w:bCs/>
        </w:rPr>
        <w:t xml:space="preserve">Директива 2012/18/ЕС</w:t>
      </w:r>
    </w:p>
    <w:p>
      <w:pPr>
        <w:spacing w:after="80"/>
      </w:pPr>
      <w:r>
        <w:rPr>
          <w:b/>
          <w:bCs/>
        </w:rPr>
        <w:t xml:space="preserve">Поименованные опасные вещества — ПРИЛОЖЕНИЕ I </w:t>
      </w:r>
      <w:r>
        <w:t xml:space="preserve">Ни один из компонентов не включён в список.</w:t>
      </w:r>
    </w:p>
    <w:p>
      <w:pPr>
        <w:spacing w:after="80"/>
      </w:pPr>
      <w:r>
        <w:rPr>
          <w:b/>
          <w:bCs/>
        </w:rPr>
        <w:t xml:space="preserve">РЕГЛАМЕНТ (ЕС) № 1907/2006, ПРИЛОЖЕНИЕ XVII </w:t>
      </w:r>
      <w:r>
        <w:t xml:space="preserve">Условия ограничения: 3, 74</w:t>
      </w:r>
    </w:p>
    <w:p>
      <w:pPr>
        <w:spacing w:after="80"/>
      </w:pPr>
      <w:r>
        <w:rPr>
          <w:b/>
          <w:bCs/>
        </w:rPr>
        <w:t xml:space="preserve">15.2 Оценка химической безопасности: </w:t>
      </w:r>
      <w:r>
        <w:t xml:space="preserve">Оценка химической безопасности не проводилась.</w:t>
      </w:r>
    </w:p>
    <w:tbl>
      <w:tblPr>
        <w:tblW w:type="dxa" w:w="9639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9"/>
      </w:tblGrid>
      <w:tr>
        <w:tc>
          <w:tcPr>
            <w:tcW w:type="dxa" w:w="9639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16: Прочая информация</w:t>
            </w:r>
          </w:p>
        </w:tc>
      </w:tr>
    </w:tbl>
    <w:p>
      <w:pPr>
        <w:spacing w:after="100" w:before="100"/>
      </w:pPr>
    </w:p>
    <w:p>
      <w:pPr>
        <w:spacing w:after="80"/>
      </w:pPr>
      <w:r>
        <w:t xml:space="preserve">Настоящая информация основана на наших текущих знаниях. Однако она не является гарантией каких-либо конкретных свойств продукта и не устанавливает юридически действительных договорных отношений.</w:t>
      </w:r>
    </w:p>
    <w:p>
      <w:pPr>
        <w:spacing w:after="80"/>
      </w:pPr>
      <w:r>
        <w:t xml:space="preserve">Данный паспорт безопасности соответствует Регламенту (ЕС) № 1907/2006, Статья 31, с изменениями, внесёнными Регламентом (ЕС) 2020/878.</w:t>
      </w:r>
    </w:p>
    <w:p>
      <w:pPr>
        <w:spacing w:after="60" w:before="120"/>
      </w:pPr>
      <w:r>
        <w:rPr>
          <w:b/>
          <w:bCs/>
        </w:rPr>
        <w:t xml:space="preserve">Значимые фразы</w:t>
      </w:r>
    </w:p>
    <w:p>
      <w:pPr>
        <w:spacing w:after="80"/>
      </w:pPr>
      <w:r>
        <w:t xml:space="preserve">H302 Вредно при проглатывании.</w:t>
      </w:r>
    </w:p>
    <w:p>
      <w:pPr>
        <w:spacing w:after="80"/>
      </w:pPr>
      <w:r>
        <w:t xml:space="preserve">H315 Вызывает раздражение кожи.</w:t>
      </w:r>
    </w:p>
    <w:p>
      <w:pPr>
        <w:spacing w:after="80"/>
      </w:pPr>
      <w:r>
        <w:t xml:space="preserve">H317 Может вызывать аллергическую кожную реакцию.</w:t>
      </w:r>
    </w:p>
    <w:p>
      <w:pPr>
        <w:spacing w:after="80"/>
      </w:pPr>
      <w:r>
        <w:t xml:space="preserve">H319 Вызывает серьёзное раздражение глаз.</w:t>
      </w:r>
    </w:p>
    <w:p>
      <w:pPr>
        <w:spacing w:after="80"/>
      </w:pPr>
      <w:r>
        <w:t xml:space="preserve">H331 Токсично при вдыхании.</w:t>
      </w:r>
    </w:p>
    <w:p>
      <w:pPr>
        <w:spacing w:after="80"/>
      </w:pPr>
      <w:r>
        <w:t xml:space="preserve">H332 Вредно при вдыхании.</w:t>
      </w:r>
    </w:p>
    <w:p>
      <w:pPr>
        <w:spacing w:after="80"/>
      </w:pPr>
      <w:r>
        <w:t xml:space="preserve">H334 Может вызывать симптомы аллергии или астмы, либо затруднение дыхания при вдыхании.</w:t>
      </w:r>
    </w:p>
    <w:p>
      <w:pPr>
        <w:spacing w:after="80"/>
      </w:pPr>
      <w:r>
        <w:t xml:space="preserve">H335 Может вызывать раздражение дыхательных путей.</w:t>
      </w:r>
    </w:p>
    <w:p>
      <w:pPr>
        <w:spacing w:after="80"/>
      </w:pPr>
      <w:r>
        <w:t xml:space="preserve">H412 Вредно для водных организмов с долгосрочными последствиями.</w:t>
      </w:r>
    </w:p>
    <w:p>
      <w:pPr>
        <w:spacing w:after="80"/>
      </w:pPr>
      <w:r>
        <w:t xml:space="preserve">EUH204 Содержит изоцианаты. Может вызывать аллергическую реакцию.</w:t>
      </w:r>
    </w:p>
    <w:p>
      <w:pPr>
        <w:spacing w:after="100" w:before="100"/>
      </w:pPr>
    </w:p>
    <w:p>
      <w:pPr>
        <w:spacing w:after="80"/>
      </w:pPr>
      <w:r>
        <w:rPr>
          <w:b/>
          <w:bCs/>
        </w:rPr>
        <w:t xml:space="preserve">Рекомендуемое ограничение использования </w:t>
      </w:r>
      <w:r>
        <w:t xml:space="preserve">Только для профессионального использования.</w:t>
      </w:r>
    </w:p>
    <w:p>
      <w:pPr>
        <w:spacing w:after="60" w:before="120"/>
      </w:pPr>
      <w:r>
        <w:rPr>
          <w:b/>
          <w:bCs/>
        </w:rPr>
        <w:t xml:space="preserve">Классификация согласно Регламенту (ЕС) № 1272/2008</w:t>
      </w:r>
    </w:p>
    <w:p>
      <w:pPr>
        <w:spacing w:after="80"/>
      </w:pPr>
      <w:r>
        <w:t xml:space="preserve">Классификация смеси в целом основана на методе расчёта с использованием данных о веществах согласно Регламенту (ЕС) № 1272/2008.</w:t>
      </w:r>
    </w:p>
    <w:p>
      <w:pPr>
        <w:spacing w:after="80"/>
      </w:pPr>
      <w:r>
        <w:rPr>
          <w:b/>
          <w:bCs/>
        </w:rPr>
        <w:t xml:space="preserve">Контакт: </w:t>
      </w:r>
      <w:r>
        <w:t xml:space="preserve">E-Mail: msds.info@pallmann.net</w:t>
      </w:r>
    </w:p>
    <w:p>
      <w:pPr>
        <w:spacing w:after="60" w:before="120"/>
      </w:pPr>
      <w:r>
        <w:rPr>
          <w:b/>
          <w:bCs/>
        </w:rPr>
        <w:t xml:space="preserve">Сокращения и аббревиатуры:</w:t>
      </w:r>
    </w:p>
    <w:p>
      <w:pPr>
        <w:spacing w:after="80"/>
      </w:pPr>
      <w:r>
        <w:t xml:space="preserve">RID: Правила международной перевозки опасных грузов по железным дорогам</w:t>
      </w:r>
    </w:p>
    <w:p>
      <w:pPr>
        <w:spacing w:after="80"/>
      </w:pPr>
      <w:r>
        <w:t xml:space="preserve">ICAO: Международная организация гражданской авиации</w:t>
      </w:r>
    </w:p>
    <w:p>
      <w:pPr>
        <w:spacing w:after="80"/>
      </w:pPr>
      <w:r>
        <w:t xml:space="preserve">ADR: Европейское соглашение о международной дорожной перевозке опасных грузов</w:t>
      </w:r>
    </w:p>
    <w:p>
      <w:pPr>
        <w:spacing w:after="80"/>
      </w:pPr>
      <w:r>
        <w:t xml:space="preserve">IMDG: Международный кодекс морской перевозки опасных грузов</w:t>
      </w:r>
    </w:p>
    <w:p>
      <w:pPr>
        <w:spacing w:after="80"/>
      </w:pPr>
      <w:r>
        <w:t xml:space="preserve">IATA: Международная ассоциация воздушного транспорта</w:t>
      </w:r>
    </w:p>
    <w:p>
      <w:pPr>
        <w:spacing w:after="80"/>
      </w:pPr>
      <w:r>
        <w:t xml:space="preserve">GHS: Согласованная на глобальном уровне система классификации и маркировки химических веществ</w:t>
      </w:r>
    </w:p>
    <w:p>
      <w:pPr>
        <w:spacing w:after="80"/>
      </w:pPr>
      <w:r>
        <w:t xml:space="preserve">EINECS: Европейский перечень существующих коммерческих химических веществ</w:t>
      </w:r>
    </w:p>
    <w:p>
      <w:pPr>
        <w:spacing w:after="80"/>
      </w:pPr>
      <w:r>
        <w:t xml:space="preserve">ELINCS: Европейский список зарегистрированных химических веществ</w:t>
      </w:r>
    </w:p>
    <w:p>
      <w:pPr>
        <w:spacing w:after="80"/>
      </w:pPr>
      <w:r>
        <w:t xml:space="preserve">CAS: Служба химических рефератов (подразделение Американского химического общества)</w:t>
      </w:r>
    </w:p>
    <w:p>
      <w:pPr>
        <w:spacing w:after="80"/>
      </w:pPr>
      <w:r>
        <w:t xml:space="preserve">DNEL: расчётный уровень без вредного воздействия (UK REACH)</w:t>
      </w:r>
    </w:p>
    <w:p>
      <w:pPr>
        <w:spacing w:after="80"/>
      </w:pPr>
      <w:r>
        <w:t xml:space="preserve">PNEC: прогнозируемая безопасная концентрация (UK REACH)</w:t>
      </w:r>
    </w:p>
    <w:p>
      <w:pPr>
        <w:spacing w:after="80"/>
      </w:pPr>
      <w:r>
        <w:t xml:space="preserve">LC50: Летальная концентрация, 50 процентов</w:t>
      </w:r>
    </w:p>
    <w:p>
      <w:pPr>
        <w:spacing w:after="80"/>
      </w:pPr>
      <w:r>
        <w:t xml:space="preserve">LD50: Летальная доза, 50 процентов</w:t>
      </w:r>
    </w:p>
    <w:p>
      <w:pPr>
        <w:spacing w:after="80"/>
      </w:pPr>
      <w:r>
        <w:t xml:space="preserve">СБТ: стойкое, биоаккумулятивное и токсичное вещество</w:t>
      </w:r>
    </w:p>
    <w:p>
      <w:pPr>
        <w:spacing w:after="80"/>
      </w:pPr>
      <w:r>
        <w:t xml:space="preserve">оСБсБ: очень стойкое и очень биоаккумулятивное вещество</w:t>
      </w:r>
    </w:p>
    <w:p>
      <w:pPr>
        <w:spacing w:after="80"/>
      </w:pPr>
      <w:r>
        <w:t xml:space="preserve">Acute Tox. 3: Острая токсичность — Категория 3</w:t>
      </w:r>
    </w:p>
    <w:p>
      <w:pPr>
        <w:spacing w:after="80"/>
      </w:pPr>
      <w:r>
        <w:t xml:space="preserve">Acute Tox. 4: Острая токсичность — Категория 4</w:t>
      </w:r>
    </w:p>
    <w:p>
      <w:pPr>
        <w:spacing w:after="80"/>
      </w:pPr>
      <w:r>
        <w:t xml:space="preserve">Skin Irrit. 2: Коррозия/раздражение кожи — Категория 2</w:t>
      </w:r>
    </w:p>
    <w:p>
      <w:pPr>
        <w:spacing w:after="80"/>
      </w:pPr>
      <w:r>
        <w:t xml:space="preserve">Eye Irrit. 2: Серьёзное повреждение/раздражение глаз — Категория 2</w:t>
      </w:r>
    </w:p>
    <w:p>
      <w:pPr>
        <w:spacing w:after="80"/>
      </w:pPr>
      <w:r>
        <w:t xml:space="preserve">Resp. Sens. 1: Респираторная сенсибилизация — Категория 1</w:t>
      </w:r>
    </w:p>
    <w:p>
      <w:pPr>
        <w:spacing w:after="80"/>
      </w:pPr>
      <w:r>
        <w:t xml:space="preserve">Skin Sens. 1: Сенсибилизация кожи — Категория 1</w:t>
      </w:r>
    </w:p>
    <w:p>
      <w:pPr>
        <w:spacing w:after="80"/>
      </w:pPr>
      <w:r>
        <w:t xml:space="preserve">STOT SE 3: Специфическая токсичность на органы-мишени (однократное воздействие) — Категория 3</w:t>
      </w:r>
    </w:p>
    <w:p>
      <w:pPr>
        <w:spacing w:after="80"/>
      </w:pPr>
      <w:r>
        <w:t xml:space="preserve">Aquatic Chronic 3: Опасность для водной среды - долгосрочная водная опасность — Категория 3</w:t>
      </w:r>
    </w:p>
    <w:sectPr>
      <w:pgSz w:w="11907" w:h="16840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2026-07-21T04:30:46.772Z</dcterms:created>
  <dcterms:modified xsi:type="dcterms:W3CDTF">2026-07-21T04:30:46.784Z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