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40"/>
        <w:jc w:val="center"/>
      </w:pPr>
      <w:r>
        <w:rPr>
          <w:b/>
          <w:bCs/>
          <w:sz w:val="32"/>
          <w:szCs w:val="32"/>
        </w:rPr>
        <w:t xml:space="preserve">Паспорт безопасности</w:t>
      </w:r>
    </w:p>
    <w:p>
      <w:pPr>
        <w:spacing w:after="200"/>
        <w:jc w:val="center"/>
      </w:pPr>
      <w:r>
        <w:rPr>
          <w:i/>
          <w:iCs/>
          <w:sz w:val="22"/>
          <w:szCs w:val="22"/>
        </w:rPr>
        <w:t xml:space="preserve">согласно 1907/2006/EC, Статья 31</w:t>
      </w:r>
    </w:p>
    <w:p>
      <w:pPr>
        <w:pBdr>
          <w:bottom w:val="single" w:color="000000" w:sz="6" w:space="4"/>
        </w:pBdr>
        <w:spacing w:after="300"/>
        <w:jc w:val="center"/>
      </w:pPr>
      <w:r>
        <w:rPr>
          <w:b/>
          <w:bCs/>
          <w:sz w:val="26"/>
          <w:szCs w:val="26"/>
        </w:rPr>
        <w:t xml:space="preserve">PALL-X 96 ORIGINAL</w:t>
      </w:r>
    </w:p>
    <w:tbl>
      <w:tblPr>
        <w:tblW w:type="dxa" w:w="9639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639"/>
      </w:tblGrid>
      <w:tr>
        <w:tc>
          <w:tcPr>
            <w:tcW w:type="dxa" w:w="9639"/>
            <w:shd w:fill="1F3864" w:color="auto" w:val="clear"/>
            <w:tcMar>
              <w:top w:type="dxa" w:w="100"/>
              <w:left w:type="dxa" w:w="150"/>
              <w:bottom w:type="dxa" w:w="100"/>
              <w:right w:type="dxa" w:w="150"/>
            </w:tcMar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1: Идентификация вещества/смеси и сведения о компании</w:t>
            </w:r>
          </w:p>
        </w:tc>
      </w:tr>
    </w:tbl>
    <w:p>
      <w:pPr>
        <w:spacing w:after="100" w:before="100"/>
      </w:pPr>
    </w:p>
    <w:p>
      <w:pPr>
        <w:spacing w:after="60" w:before="120"/>
      </w:pPr>
      <w:r>
        <w:rPr>
          <w:b/>
          <w:bCs/>
        </w:rPr>
        <w:t xml:space="preserve">1.1 Идентификатор продукта</w:t>
      </w:r>
    </w:p>
    <w:p>
      <w:pPr>
        <w:spacing w:after="80"/>
      </w:pPr>
      <w:r>
        <w:rPr>
          <w:b/>
          <w:bCs/>
        </w:rPr>
        <w:t xml:space="preserve">Торговое название: </w:t>
      </w:r>
      <w:r>
        <w:t xml:space="preserve">PALL-X 96 ORIGINAL</w:t>
      </w:r>
    </w:p>
    <w:p>
      <w:pPr>
        <w:spacing w:after="80"/>
      </w:pPr>
      <w:r>
        <w:rPr>
          <w:b/>
          <w:bCs/>
        </w:rPr>
        <w:t xml:space="preserve">1.2 Соответствующие установленные виды использования вещества или смеси и виды использования, не рекомендуемые к применению </w:t>
      </w:r>
      <w:r>
        <w:t xml:space="preserve">Особых требований нет.</w:t>
      </w:r>
    </w:p>
    <w:p>
      <w:pPr>
        <w:spacing w:after="60" w:before="120"/>
      </w:pPr>
      <w:r>
        <w:rPr>
          <w:b/>
          <w:bCs/>
        </w:rPr>
        <w:t xml:space="preserve">Сектор использования</w:t>
      </w:r>
    </w:p>
    <w:p>
      <w:pPr>
        <w:spacing w:after="80"/>
      </w:pPr>
      <w:r>
        <w:t xml:space="preserve">SU19 Строительные работы</w:t>
      </w:r>
    </w:p>
    <w:p>
      <w:pPr>
        <w:spacing w:after="80"/>
      </w:pPr>
      <w:r>
        <w:t xml:space="preserve">SU22 Профессиональное использование: общественная сфера (администрирование, образование, развлечения, услуги, ремесленники)</w:t>
      </w:r>
    </w:p>
    <w:p>
      <w:pPr>
        <w:spacing w:after="80"/>
      </w:pPr>
      <w:r>
        <w:t xml:space="preserve">SU21 Потребительское использование: частные домохозяйства / широкая общественность / потребители</w:t>
      </w:r>
    </w:p>
    <w:p>
      <w:pPr>
        <w:spacing w:after="80"/>
      </w:pPr>
      <w:r>
        <w:rPr>
          <w:b/>
          <w:bCs/>
        </w:rPr>
        <w:t xml:space="preserve">Категория продукта </w:t>
      </w:r>
      <w:r>
        <w:t xml:space="preserve">PC9a Покрытия и краски, разбавители, средства для снятия краски</w:t>
      </w:r>
    </w:p>
    <w:p>
      <w:pPr>
        <w:spacing w:after="80"/>
      </w:pPr>
      <w:r>
        <w:rPr>
          <w:b/>
          <w:bCs/>
        </w:rPr>
        <w:t xml:space="preserve">Применение вещества/смеси </w:t>
      </w:r>
      <w:r>
        <w:t xml:space="preserve">Паркетный лак на водной основе, однокомпонентный, для паркетных полов</w:t>
      </w:r>
    </w:p>
    <w:p>
      <w:pPr>
        <w:spacing w:after="60" w:before="120"/>
      </w:pPr>
      <w:r>
        <w:rPr>
          <w:b/>
          <w:bCs/>
        </w:rPr>
        <w:t xml:space="preserve">1.3 Данные поставщика паспорта безопасности</w:t>
      </w:r>
    </w:p>
    <w:p>
      <w:pPr>
        <w:spacing w:after="80"/>
      </w:pPr>
      <w:r>
        <w:rPr>
          <w:b/>
          <w:bCs/>
        </w:rPr>
        <w:t xml:space="preserve">Производитель/Поставщик: </w:t>
      </w:r>
      <w:r>
        <w:t xml:space="preserve"/>
      </w:r>
    </w:p>
    <w:p>
      <w:pPr>
        <w:spacing w:after="80"/>
      </w:pPr>
      <w:r>
        <w:t xml:space="preserve">PALLMANN GmbH</w:t>
      </w:r>
    </w:p>
    <w:p>
      <w:pPr>
        <w:spacing w:after="80"/>
      </w:pPr>
      <w:r>
        <w:t xml:space="preserve">Im Kreuz 6</w:t>
      </w:r>
    </w:p>
    <w:p>
      <w:pPr>
        <w:spacing w:after="80"/>
      </w:pPr>
      <w:r>
        <w:t xml:space="preserve">D-97076 Würzburg</w:t>
      </w:r>
    </w:p>
    <w:p>
      <w:pPr>
        <w:spacing w:after="80"/>
      </w:pPr>
      <w:r>
        <w:t xml:space="preserve">Тел.: +49 931-27964-0</w:t>
      </w:r>
    </w:p>
    <w:p>
      <w:pPr>
        <w:spacing w:after="80"/>
      </w:pPr>
      <w:r>
        <w:t xml:space="preserve">Факс: +49 931-27964-50</w:t>
      </w:r>
    </w:p>
    <w:p>
      <w:pPr>
        <w:spacing w:after="80"/>
      </w:pPr>
      <w:r>
        <w:rPr>
          <w:b/>
          <w:bCs/>
        </w:rPr>
        <w:t xml:space="preserve">Дополнительную информацию можно получить: </w:t>
      </w:r>
      <w:r>
        <w:t xml:space="preserve"/>
      </w:r>
    </w:p>
    <w:p>
      <w:pPr>
        <w:spacing w:after="80"/>
      </w:pPr>
      <w:r>
        <w:t xml:space="preserve">Products Development Lab</w:t>
      </w:r>
    </w:p>
    <w:p>
      <w:pPr>
        <w:spacing w:after="80"/>
      </w:pPr>
      <w:r>
        <w:t xml:space="preserve">E-Mail: msds.info@pallmann.net</w:t>
      </w:r>
    </w:p>
    <w:p>
      <w:pPr>
        <w:spacing w:after="60" w:before="120"/>
      </w:pPr>
      <w:r>
        <w:rPr>
          <w:b/>
          <w:bCs/>
        </w:rPr>
        <w:t xml:space="preserve">1.4 Телефон экстренной связи:</w:t>
      </w:r>
    </w:p>
    <w:p>
      <w:pPr>
        <w:spacing w:after="80"/>
      </w:pPr>
      <w:r>
        <w:t xml:space="preserve">Медицинские экстренные случаи (GIZ-Nord Poisons Center): +49 551 19240</w:t>
      </w:r>
    </w:p>
    <w:p>
      <w:pPr>
        <w:spacing w:after="80"/>
      </w:pPr>
      <w:r>
        <w:t xml:space="preserve">Транспортные экстренные случаи: +49 621 60 43 333</w:t>
      </w:r>
    </w:p>
    <w:tbl>
      <w:tblPr>
        <w:tblW w:type="dxa" w:w="9639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639"/>
      </w:tblGrid>
      <w:tr>
        <w:tc>
          <w:tcPr>
            <w:tcW w:type="dxa" w:w="9639"/>
            <w:shd w:fill="1F3864" w:color="auto" w:val="clear"/>
            <w:tcMar>
              <w:top w:type="dxa" w:w="100"/>
              <w:left w:type="dxa" w:w="150"/>
              <w:bottom w:type="dxa" w:w="100"/>
              <w:right w:type="dxa" w:w="150"/>
            </w:tcMar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2: Идентификация опасности</w:t>
            </w:r>
          </w:p>
        </w:tc>
      </w:tr>
    </w:tbl>
    <w:p>
      <w:pPr>
        <w:spacing w:after="100" w:before="100"/>
      </w:pPr>
    </w:p>
    <w:p>
      <w:pPr>
        <w:spacing w:after="60" w:before="120"/>
      </w:pPr>
      <w:r>
        <w:rPr>
          <w:b/>
          <w:bCs/>
        </w:rPr>
        <w:t xml:space="preserve">2.1 Классификация вещества или смеси</w:t>
      </w:r>
    </w:p>
    <w:p>
      <w:pPr>
        <w:spacing w:after="80"/>
      </w:pPr>
      <w:r>
        <w:rPr>
          <w:b/>
          <w:bCs/>
        </w:rPr>
        <w:t xml:space="preserve">Классификация согласно Регламенту (ЕС) № 1272/2008 </w:t>
      </w:r>
      <w:r>
        <w:t xml:space="preserve"/>
      </w:r>
    </w:p>
    <w:p>
      <w:pPr>
        <w:spacing w:after="80"/>
      </w:pPr>
      <w:r>
        <w:t xml:space="preserve">Продукт не классифицируется согласно регламенту GB CLP (Великобритания).</w:t>
      </w:r>
    </w:p>
    <w:p>
      <w:pPr>
        <w:spacing w:after="60" w:before="120"/>
      </w:pPr>
      <w:r>
        <w:rPr>
          <w:b/>
          <w:bCs/>
        </w:rPr>
        <w:t xml:space="preserve">2.2 Элементы маркировки</w:t>
      </w:r>
    </w:p>
    <w:p>
      <w:pPr>
        <w:spacing w:after="80"/>
      </w:pPr>
      <w:r>
        <w:rPr>
          <w:b/>
          <w:bCs/>
        </w:rPr>
        <w:t xml:space="preserve">Маркировка согласно Регламенту (ЕС) № 1272/2008: </w:t>
      </w:r>
      <w:r>
        <w:t xml:space="preserve">Не применяется (Void)</w:t>
      </w:r>
    </w:p>
    <w:p>
      <w:pPr>
        <w:spacing w:after="80"/>
      </w:pPr>
      <w:r>
        <w:rPr>
          <w:b/>
          <w:bCs/>
        </w:rPr>
        <w:t xml:space="preserve">Пиктограммы опасности: </w:t>
      </w:r>
      <w:r>
        <w:t xml:space="preserve">Не применяется (Void)</w:t>
      </w:r>
    </w:p>
    <w:p>
      <w:pPr>
        <w:spacing w:after="80"/>
      </w:pPr>
      <w:r>
        <w:rPr>
          <w:b/>
          <w:bCs/>
        </w:rPr>
        <w:t xml:space="preserve">Сигнальное слово: </w:t>
      </w:r>
      <w:r>
        <w:t xml:space="preserve">Не применяется (Void)</w:t>
      </w:r>
    </w:p>
    <w:p>
      <w:pPr>
        <w:spacing w:after="80"/>
      </w:pPr>
      <w:r>
        <w:rPr>
          <w:b/>
          <w:bCs/>
        </w:rPr>
        <w:t xml:space="preserve">Указания на опасность: </w:t>
      </w:r>
      <w:r>
        <w:t xml:space="preserve">Не применяется (Void)</w:t>
      </w:r>
    </w:p>
    <w:p>
      <w:pPr>
        <w:spacing w:after="60" w:before="120"/>
      </w:pPr>
      <w:r>
        <w:rPr>
          <w:b/>
          <w:bCs/>
        </w:rPr>
        <w:t xml:space="preserve">Дополнительная информация:</w:t>
      </w:r>
    </w:p>
    <w:p>
      <w:pPr>
        <w:spacing w:after="80"/>
      </w:pPr>
      <w:r>
        <w:t xml:space="preserve">EUH208 Содержит 1,2-бензизотиазол-3(2H)-он, смесь: 5-хлор-2-метил-4-изотиазолин-3-он и 2-метил-2H-изотиазол-3-он (3:1). Может вызывать аллергическую реакцию.</w:t>
      </w:r>
    </w:p>
    <w:p>
      <w:pPr>
        <w:spacing w:after="60" w:before="120"/>
      </w:pPr>
      <w:r>
        <w:rPr>
          <w:b/>
          <w:bCs/>
        </w:rPr>
        <w:t xml:space="preserve">2.3 Прочие опасности</w:t>
      </w:r>
    </w:p>
    <w:p>
      <w:pPr>
        <w:spacing w:after="60" w:before="120"/>
      </w:pPr>
      <w:r>
        <w:rPr>
          <w:b/>
          <w:bCs/>
        </w:rPr>
        <w:t xml:space="preserve">Результаты оценки СБТ и оСБсБ</w:t>
      </w:r>
    </w:p>
    <w:p>
      <w:pPr>
        <w:spacing w:after="80"/>
      </w:pPr>
      <w:r>
        <w:rPr>
          <w:b/>
          <w:bCs/>
        </w:rPr>
        <w:t xml:space="preserve">СБТ: </w:t>
      </w:r>
      <w:r>
        <w:t xml:space="preserve">Не применимо.</w:t>
      </w:r>
    </w:p>
    <w:p>
      <w:pPr>
        <w:spacing w:after="80"/>
      </w:pPr>
      <w:r>
        <w:rPr>
          <w:b/>
          <w:bCs/>
        </w:rPr>
        <w:t xml:space="preserve">оСБсБ: </w:t>
      </w:r>
      <w:r>
        <w:t xml:space="preserve">Не применимо.</w:t>
      </w:r>
    </w:p>
    <w:tbl>
      <w:tblPr>
        <w:tblW w:type="dxa" w:w="9639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639"/>
      </w:tblGrid>
      <w:tr>
        <w:tc>
          <w:tcPr>
            <w:tcW w:type="dxa" w:w="9639"/>
            <w:shd w:fill="1F3864" w:color="auto" w:val="clear"/>
            <w:tcMar>
              <w:top w:type="dxa" w:w="100"/>
              <w:left w:type="dxa" w:w="150"/>
              <w:bottom w:type="dxa" w:w="100"/>
              <w:right w:type="dxa" w:w="150"/>
            </w:tcMar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3: Состав / информация о компонентах</w:t>
            </w:r>
          </w:p>
        </w:tc>
      </w:tr>
    </w:tbl>
    <w:p>
      <w:pPr>
        <w:spacing w:after="100" w:before="100"/>
      </w:pPr>
    </w:p>
    <w:p>
      <w:pPr>
        <w:spacing w:after="60" w:before="120"/>
      </w:pPr>
      <w:r>
        <w:rPr>
          <w:b/>
          <w:bCs/>
        </w:rPr>
        <w:t xml:space="preserve">3.2 Смеси</w:t>
      </w:r>
    </w:p>
    <w:p>
      <w:pPr>
        <w:spacing w:after="80"/>
      </w:pPr>
      <w:r>
        <w:rPr>
          <w:b/>
          <w:bCs/>
        </w:rPr>
        <w:t xml:space="preserve">Описание: </w:t>
      </w:r>
      <w:r>
        <w:t xml:space="preserve">Паркетный лак на водной основе, однокомпонентный, для паркетных полов</w:t>
      </w:r>
    </w:p>
    <w:p>
      <w:pPr>
        <w:spacing w:after="60" w:before="60"/>
      </w:pPr>
    </w:p>
    <w:p>
      <w:pPr>
        <w:spacing w:after="60" w:before="120"/>
      </w:pPr>
      <w:r>
        <w:rPr>
          <w:b/>
          <w:bCs/>
        </w:rPr>
        <w:t xml:space="preserve">Опасные компоненты:</w:t>
      </w:r>
    </w:p>
    <w:tbl>
      <w:tblPr>
        <w:tblW w:type="dxa" w:w="9639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2400"/>
        <w:gridCol w:w="5200"/>
        <w:gridCol w:w="2039"/>
      </w:tblGrid>
      <w:tr>
        <w:trPr>
          <w:tblHeader/>
        </w:trPr>
        <w:tc>
          <w:tcPr>
            <w:tcW w:type="dxa" w:w="240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/>
                <w:bCs/>
              </w:rPr>
              <w:t xml:space="preserve">Идентификатор</w:t>
            </w:r>
          </w:p>
        </w:tc>
        <w:tc>
          <w:tcPr>
            <w:tcW w:type="dxa" w:w="520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/>
                <w:bCs/>
              </w:rPr>
              <w:t xml:space="preserve">Наименование / классификация</w:t>
            </w:r>
          </w:p>
        </w:tc>
        <w:tc>
          <w:tcPr>
            <w:tcW w:type="dxa" w:w="2039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/>
                <w:bCs/>
              </w:rPr>
              <w:t xml:space="preserve">Концентрация</w:t>
            </w:r>
          </w:p>
        </w:tc>
      </w:tr>
      <w:tr>
        <w:tc>
          <w:tcPr>
            <w:tcW w:type="dxa" w:w="240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</w:rPr>
              <w:t xml:space="preserve">CAS: 34590-94-8
EINECS: 252-104-2
Reg.nr.: 01-2119450011-60</w:t>
            </w:r>
          </w:p>
        </w:tc>
        <w:tc>
          <w:tcPr>
            <w:tcW w:type="dxa" w:w="520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</w:rPr>
              <w:t xml:space="preserve">Дипропиленгликоль монометиловый эфир — вещество с установленным пределом воздействия на рабочем месте</w:t>
            </w:r>
          </w:p>
        </w:tc>
        <w:tc>
          <w:tcPr>
            <w:tcW w:type="dxa" w:w="2039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</w:rPr>
              <w:t xml:space="preserve">1-&lt;3%</w:t>
            </w:r>
          </w:p>
        </w:tc>
      </w:tr>
      <w:tr>
        <w:tc>
          <w:tcPr>
            <w:tcW w:type="dxa" w:w="240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</w:rPr>
              <w:t xml:space="preserve">CAS: 2634-33-5
EINECS: 220-120-9</w:t>
            </w:r>
          </w:p>
        </w:tc>
        <w:tc>
          <w:tcPr>
            <w:tcW w:type="dxa" w:w="520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</w:rPr>
              <w:t xml:space="preserve">1,2-бензизотиазол-3(2H)-он
Acute Tox. 2, H330; Eye Dam. 1, H318; Aquatic Acute 1, H400; Aquatic Chronic 1, H410; Acute Tox. 4, H302; Skin Irrit. 2, H315; Skin Sens. 1A, H317
ATE: LD50 перорально: 450 мг/кг; LC50/4ч ингаляционно: 0,21 мг/л
Специфический предел концентрации: Skin Sens. 1A; H317: C ≥ 0,036 %</w:t>
            </w:r>
          </w:p>
        </w:tc>
        <w:tc>
          <w:tcPr>
            <w:tcW w:type="dxa" w:w="2039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</w:rPr>
              <w:t xml:space="preserve">&lt;0,036%</w:t>
            </w:r>
          </w:p>
        </w:tc>
      </w:tr>
      <w:tr>
        <w:tc>
          <w:tcPr>
            <w:tcW w:type="dxa" w:w="240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</w:rPr>
              <w:t xml:space="preserve">CAS: 55965-84-9</w:t>
            </w:r>
          </w:p>
        </w:tc>
        <w:tc>
          <w:tcPr>
            <w:tcW w:type="dxa" w:w="520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</w:rPr>
              <w:t xml:space="preserve">Смесь: 5-хлор-2-метил-4-изотиазолин-3-он и 2-метил-2H-изотиазол-3-он (3:1)
Acute Tox. 3, H301; Acute Tox. 2, H310; Acute Tox. 2, H330; Skin Corr. 1C, H314; Eye Dam. 1, H318; Aquatic Acute 1, H400 (M=100); Aquatic Chronic 1, H410 (M=100); Skin Sens. 1A, H317, EUH071
Специфические пределы концентрации: Skin Corr. 1C; H314: C ≥ 0,6 %; Skin Irrit. 2; H315: 0,06 % ≤ C &lt; 0,6 %; Eye Dam. 1; H318: C ≥ 0,6 %; Eye Irrit. 2; H319: 0,06 % ≤ C &lt; 0,6 %; Skin Sens. 1A; H317: C ≥ 0,0015 %</w:t>
            </w:r>
          </w:p>
        </w:tc>
        <w:tc>
          <w:tcPr>
            <w:tcW w:type="dxa" w:w="2039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</w:rPr>
              <w:t xml:space="preserve">&lt;0,0015%</w:t>
            </w:r>
          </w:p>
        </w:tc>
      </w:tr>
    </w:tbl>
    <w:p>
      <w:pPr>
        <w:spacing w:after="100" w:before="100"/>
      </w:pPr>
    </w:p>
    <w:p>
      <w:pPr>
        <w:pBdr>
          <w:left w:val="single" w:color="1F3864" w:sz="18" w:space="8"/>
        </w:pBdr>
        <w:spacing w:after="150" w:before="100"/>
        <w:ind w:left="100"/>
      </w:pPr>
      <w:r>
        <w:rPr>
          <w:i/>
          <w:iCs/>
        </w:rPr>
        <w:t xml:space="preserve">Указанные классы опасности/фразы относятся к чистому веществу-компоненту, а не к готовому продукту в том виде, в котором он продаётся и используется — сам продукт не классифицируется как опасный (см. раздел 2.1).</w:t>
      </w:r>
    </w:p>
    <w:p>
      <w:pPr>
        <w:spacing w:after="80"/>
      </w:pPr>
      <w:r>
        <w:rPr>
          <w:b/>
          <w:bCs/>
        </w:rPr>
        <w:t xml:space="preserve">Дополнительная информация: </w:t>
      </w:r>
      <w:r>
        <w:t xml:space="preserve">Формулировки перечисленных указаний на опасность приведены в разделе 16.</w:t>
      </w:r>
    </w:p>
    <w:tbl>
      <w:tblPr>
        <w:tblW w:type="dxa" w:w="9639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639"/>
      </w:tblGrid>
      <w:tr>
        <w:tc>
          <w:tcPr>
            <w:tcW w:type="dxa" w:w="9639"/>
            <w:shd w:fill="1F3864" w:color="auto" w:val="clear"/>
            <w:tcMar>
              <w:top w:type="dxa" w:w="100"/>
              <w:left w:type="dxa" w:w="150"/>
              <w:bottom w:type="dxa" w:w="100"/>
              <w:right w:type="dxa" w:w="150"/>
            </w:tcMar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4: Меры первой помощи</w:t>
            </w:r>
          </w:p>
        </w:tc>
      </w:tr>
    </w:tbl>
    <w:p>
      <w:pPr>
        <w:spacing w:after="100" w:before="100"/>
      </w:pPr>
    </w:p>
    <w:p>
      <w:pPr>
        <w:spacing w:after="60" w:before="120"/>
      </w:pPr>
      <w:r>
        <w:rPr>
          <w:b/>
          <w:bCs/>
        </w:rPr>
        <w:t xml:space="preserve">4.1 Описание мер первой помощи</w:t>
      </w:r>
    </w:p>
    <w:p>
      <w:pPr>
        <w:spacing w:after="80"/>
      </w:pPr>
      <w:r>
        <w:rPr>
          <w:b/>
          <w:bCs/>
        </w:rPr>
        <w:t xml:space="preserve">Общая информация: </w:t>
      </w:r>
      <w:r>
        <w:t xml:space="preserve">Особые меры не требуются.</w:t>
      </w:r>
    </w:p>
    <w:p>
      <w:pPr>
        <w:spacing w:after="80"/>
      </w:pPr>
      <w:r>
        <w:rPr>
          <w:b/>
          <w:bCs/>
        </w:rPr>
        <w:t xml:space="preserve">При вдыхании: </w:t>
      </w:r>
      <w:r>
        <w:t xml:space="preserve">Обеспечить приток свежего воздуха.</w:t>
      </w:r>
    </w:p>
    <w:p>
      <w:pPr>
        <w:spacing w:after="80"/>
      </w:pPr>
      <w:r>
        <w:rPr>
          <w:b/>
          <w:bCs/>
        </w:rPr>
        <w:t xml:space="preserve">При контакте с кожей: </w:t>
      </w:r>
      <w:r>
        <w:t xml:space="preserve">Как правило, продукт не раздражает кожу.</w:t>
      </w:r>
    </w:p>
    <w:p>
      <w:pPr>
        <w:spacing w:after="80"/>
      </w:pPr>
      <w:r>
        <w:rPr>
          <w:b/>
          <w:bCs/>
        </w:rPr>
        <w:t xml:space="preserve">При контакте с глазами: </w:t>
      </w:r>
      <w:r>
        <w:t xml:space="preserve">Промывать открытый глаз в течение нескольких минут под проточной водой. При сохранении симптомов обратиться к врачу.</w:t>
      </w:r>
    </w:p>
    <w:p>
      <w:pPr>
        <w:spacing w:after="80"/>
      </w:pPr>
      <w:r>
        <w:rPr>
          <w:b/>
          <w:bCs/>
        </w:rPr>
        <w:t xml:space="preserve">При проглатывании: </w:t>
      </w:r>
      <w:r>
        <w:t xml:space="preserve">Не вызывать рвоту; немедленно обратиться за медицинской помощью.</w:t>
      </w:r>
    </w:p>
    <w:p>
      <w:pPr>
        <w:spacing w:after="80"/>
      </w:pPr>
      <w:r>
        <w:rPr>
          <w:b/>
          <w:bCs/>
        </w:rPr>
        <w:t xml:space="preserve">4.2 Наиболее важные симптомы и эффекты, острые и отсроченные </w:t>
      </w:r>
      <w:r>
        <w:t xml:space="preserve">Дополнительная значимая информация отсутствует.</w:t>
      </w:r>
    </w:p>
    <w:p>
      <w:pPr>
        <w:spacing w:after="80"/>
      </w:pPr>
      <w:r>
        <w:rPr>
          <w:b/>
          <w:bCs/>
        </w:rPr>
        <w:t xml:space="preserve">4.3 Указание на необходимость немедленной медицинской помощи и специального лечения </w:t>
      </w:r>
      <w:r>
        <w:t xml:space="preserve">Дополнительная значимая информация отсутствует.</w:t>
      </w:r>
    </w:p>
    <w:tbl>
      <w:tblPr>
        <w:tblW w:type="dxa" w:w="9639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639"/>
      </w:tblGrid>
      <w:tr>
        <w:tc>
          <w:tcPr>
            <w:tcW w:type="dxa" w:w="9639"/>
            <w:shd w:fill="1F3864" w:color="auto" w:val="clear"/>
            <w:tcMar>
              <w:top w:type="dxa" w:w="100"/>
              <w:left w:type="dxa" w:w="150"/>
              <w:bottom w:type="dxa" w:w="100"/>
              <w:right w:type="dxa" w:w="150"/>
            </w:tcMar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5: Меры пожаротушения</w:t>
            </w:r>
          </w:p>
        </w:tc>
      </w:tr>
    </w:tbl>
    <w:p>
      <w:pPr>
        <w:spacing w:after="100" w:before="100"/>
      </w:pPr>
    </w:p>
    <w:p>
      <w:pPr>
        <w:spacing w:after="60" w:before="120"/>
      </w:pPr>
      <w:r>
        <w:rPr>
          <w:b/>
          <w:bCs/>
        </w:rPr>
        <w:t xml:space="preserve">5.1 Средства пожаротушения</w:t>
      </w:r>
    </w:p>
    <w:p>
      <w:pPr>
        <w:spacing w:after="80"/>
      </w:pPr>
      <w:r>
        <w:rPr>
          <w:b/>
          <w:bCs/>
        </w:rPr>
        <w:t xml:space="preserve">Подходящие средства пожаротушения: </w:t>
      </w:r>
      <w:r>
        <w:t xml:space="preserve">CO₂, порошок или водяной распылитель. При крупных пожарах использовать водяной распылитель или пену, стойкую к спирту.</w:t>
      </w:r>
    </w:p>
    <w:p>
      <w:pPr>
        <w:spacing w:after="80"/>
      </w:pPr>
      <w:r>
        <w:rPr>
          <w:b/>
          <w:bCs/>
        </w:rPr>
        <w:t xml:space="preserve">Непригодные по соображениям безопасности средства пожаротушения: </w:t>
      </w:r>
      <w:r>
        <w:t xml:space="preserve">Вода в сплошной струе</w:t>
      </w:r>
    </w:p>
    <w:p>
      <w:pPr>
        <w:spacing w:after="80"/>
      </w:pPr>
      <w:r>
        <w:rPr>
          <w:b/>
          <w:bCs/>
        </w:rPr>
        <w:t xml:space="preserve">5.2 Особые опасности, возникающие в связи с веществом или смесью </w:t>
      </w:r>
      <w:r>
        <w:t xml:space="preserve">Дополнительная значимая информация отсутствует.</w:t>
      </w:r>
    </w:p>
    <w:p>
      <w:pPr>
        <w:spacing w:after="60" w:before="120"/>
      </w:pPr>
      <w:r>
        <w:rPr>
          <w:b/>
          <w:bCs/>
        </w:rPr>
        <w:t xml:space="preserve">5.3 Рекомендации для пожарных</w:t>
      </w:r>
    </w:p>
    <w:p>
      <w:pPr>
        <w:spacing w:after="80"/>
      </w:pPr>
      <w:r>
        <w:rPr>
          <w:b/>
          <w:bCs/>
        </w:rPr>
        <w:t xml:space="preserve">Средства защиты: </w:t>
      </w:r>
      <w:r>
        <w:t xml:space="preserve">Особые меры не требуются.</w:t>
      </w:r>
    </w:p>
    <w:tbl>
      <w:tblPr>
        <w:tblW w:type="dxa" w:w="9639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639"/>
      </w:tblGrid>
      <w:tr>
        <w:tc>
          <w:tcPr>
            <w:tcW w:type="dxa" w:w="9639"/>
            <w:shd w:fill="1F3864" w:color="auto" w:val="clear"/>
            <w:tcMar>
              <w:top w:type="dxa" w:w="100"/>
              <w:left w:type="dxa" w:w="150"/>
              <w:bottom w:type="dxa" w:w="100"/>
              <w:right w:type="dxa" w:w="150"/>
            </w:tcMar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6: Меры при случайном высвобождении</w:t>
            </w:r>
          </w:p>
        </w:tc>
      </w:tr>
    </w:tbl>
    <w:p>
      <w:pPr>
        <w:spacing w:after="100" w:before="100"/>
      </w:pPr>
    </w:p>
    <w:p>
      <w:pPr>
        <w:spacing w:after="80"/>
      </w:pPr>
      <w:r>
        <w:rPr>
          <w:b/>
          <w:bCs/>
        </w:rPr>
        <w:t xml:space="preserve">6.1 Меры предосторожности для персонала, средства индивидуальной защиты и порядок действий в чрезвычайной ситуации </w:t>
      </w:r>
      <w:r>
        <w:t xml:space="preserve">Не требуется.</w:t>
      </w:r>
    </w:p>
    <w:p>
      <w:pPr>
        <w:spacing w:after="80"/>
      </w:pPr>
      <w:r>
        <w:rPr>
          <w:b/>
          <w:bCs/>
        </w:rPr>
        <w:t xml:space="preserve">6.2 Меры предосторожности в отношении окружающей среды: </w:t>
      </w:r>
      <w:r>
        <w:t xml:space="preserve">Не допускать попадания в канализацию/поверхностные или грунтовые воды.</w:t>
      </w:r>
    </w:p>
    <w:p>
      <w:pPr>
        <w:spacing w:after="60" w:before="120"/>
      </w:pPr>
      <w:r>
        <w:rPr>
          <w:b/>
          <w:bCs/>
        </w:rPr>
        <w:t xml:space="preserve">6.3 Методы и материалы для локализации и очистки</w:t>
      </w:r>
    </w:p>
    <w:p>
      <w:pPr>
        <w:spacing w:after="80"/>
      </w:pPr>
      <w:r>
        <w:t xml:space="preserve">Впитывать жидкость связывающим материалом (песок, диатомит, кислотосвязывающие вещества, универсальные связующие материалы, опилки).</w:t>
      </w:r>
    </w:p>
    <w:p>
      <w:pPr>
        <w:spacing w:after="60" w:before="120"/>
      </w:pPr>
      <w:r>
        <w:rPr>
          <w:b/>
          <w:bCs/>
        </w:rPr>
        <w:t xml:space="preserve">6.4 Ссылка на другие разделы</w:t>
      </w:r>
    </w:p>
    <w:p>
      <w:pPr>
        <w:spacing w:after="80"/>
      </w:pPr>
      <w:r>
        <w:t xml:space="preserve">См. раздел 7 для информации по безопасному обращению.</w:t>
      </w:r>
    </w:p>
    <w:p>
      <w:pPr>
        <w:spacing w:after="80"/>
      </w:pPr>
      <w:r>
        <w:t xml:space="preserve">См. раздел 8 для информации о средствах индивидуальной защиты.</w:t>
      </w:r>
    </w:p>
    <w:p>
      <w:pPr>
        <w:spacing w:after="80"/>
      </w:pPr>
      <w:r>
        <w:t xml:space="preserve">См. раздел 13 для информации по утилизации.</w:t>
      </w:r>
    </w:p>
    <w:tbl>
      <w:tblPr>
        <w:tblW w:type="dxa" w:w="9639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639"/>
      </w:tblGrid>
      <w:tr>
        <w:tc>
          <w:tcPr>
            <w:tcW w:type="dxa" w:w="9639"/>
            <w:shd w:fill="1F3864" w:color="auto" w:val="clear"/>
            <w:tcMar>
              <w:top w:type="dxa" w:w="100"/>
              <w:left w:type="dxa" w:w="150"/>
              <w:bottom w:type="dxa" w:w="100"/>
              <w:right w:type="dxa" w:w="150"/>
            </w:tcMar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7: Обращение и хранение</w:t>
            </w:r>
          </w:p>
        </w:tc>
      </w:tr>
    </w:tbl>
    <w:p>
      <w:pPr>
        <w:spacing w:after="100" w:before="100"/>
      </w:pPr>
    </w:p>
    <w:p>
      <w:pPr>
        <w:spacing w:after="60" w:before="120"/>
      </w:pPr>
      <w:r>
        <w:rPr>
          <w:b/>
          <w:bCs/>
        </w:rPr>
        <w:t xml:space="preserve">7.1 Меры предосторожности для безопасного обращения</w:t>
      </w:r>
    </w:p>
    <w:p>
      <w:pPr>
        <w:spacing w:after="80"/>
      </w:pPr>
      <w:r>
        <w:t xml:space="preserve">Избегать контакта с глазами и кожей.</w:t>
      </w:r>
    </w:p>
    <w:p>
      <w:pPr>
        <w:spacing w:after="80"/>
      </w:pPr>
      <w:r>
        <w:t xml:space="preserve">Не допускать контакта с пищевыми продуктами, напитками и кормами.</w:t>
      </w:r>
    </w:p>
    <w:p>
      <w:pPr>
        <w:spacing w:after="80"/>
      </w:pPr>
      <w:r>
        <w:t xml:space="preserve">Мыть руки перед перерывами и по окончании работы.</w:t>
      </w:r>
    </w:p>
    <w:p>
      <w:pPr>
        <w:spacing w:after="80"/>
      </w:pPr>
      <w:r>
        <w:rPr>
          <w:b/>
          <w:bCs/>
        </w:rPr>
        <w:t xml:space="preserve">Информация о пожаро- и взрывозащите: </w:t>
      </w:r>
      <w:r>
        <w:t xml:space="preserve">Особые меры не требуются.</w:t>
      </w:r>
    </w:p>
    <w:p>
      <w:pPr>
        <w:spacing w:after="60" w:before="120"/>
      </w:pPr>
      <w:r>
        <w:rPr>
          <w:b/>
          <w:bCs/>
        </w:rPr>
        <w:t xml:space="preserve">7.2 Условия для безопасного хранения, включая несовместимости</w:t>
      </w:r>
    </w:p>
    <w:p>
      <w:pPr>
        <w:spacing w:after="60" w:before="120"/>
      </w:pPr>
      <w:r>
        <w:rPr>
          <w:b/>
          <w:bCs/>
        </w:rPr>
        <w:t xml:space="preserve">Хранение:</w:t>
      </w:r>
    </w:p>
    <w:p>
      <w:pPr>
        <w:spacing w:after="80"/>
      </w:pPr>
      <w:r>
        <w:rPr>
          <w:b/>
          <w:bCs/>
        </w:rPr>
        <w:t xml:space="preserve">Требования к складским помещениям и ёмкостям: </w:t>
      </w:r>
      <w:r>
        <w:t xml:space="preserve">Особых требований нет.</w:t>
      </w:r>
    </w:p>
    <w:p>
      <w:pPr>
        <w:spacing w:after="80"/>
      </w:pPr>
      <w:r>
        <w:rPr>
          <w:b/>
          <w:bCs/>
        </w:rPr>
        <w:t xml:space="preserve">Информация о хранении в одном общем складском помещении: </w:t>
      </w:r>
      <w:r>
        <w:t xml:space="preserve">Не требуется</w:t>
      </w:r>
    </w:p>
    <w:p>
      <w:pPr>
        <w:spacing w:after="60" w:before="120"/>
      </w:pPr>
      <w:r>
        <w:rPr>
          <w:b/>
          <w:bCs/>
        </w:rPr>
        <w:t xml:space="preserve">Дополнительная информация об условиях хранения:</w:t>
      </w:r>
    </w:p>
    <w:p>
      <w:pPr>
        <w:spacing w:after="80"/>
      </w:pPr>
      <w:r>
        <w:t xml:space="preserve">Держать ёмкость плотно закрытой.</w:t>
      </w:r>
    </w:p>
    <w:p>
      <w:pPr>
        <w:spacing w:after="80"/>
      </w:pPr>
      <w:r>
        <w:t xml:space="preserve">Беречь от мороза.</w:t>
      </w:r>
    </w:p>
    <w:p>
      <w:pPr>
        <w:spacing w:after="80"/>
      </w:pPr>
      <w:r>
        <w:rPr>
          <w:b/>
          <w:bCs/>
        </w:rPr>
        <w:t xml:space="preserve">7.3 Особые виды конечного использования </w:t>
      </w:r>
      <w:r>
        <w:t xml:space="preserve">Дополнительная значимая информация отсутствует.</w:t>
      </w:r>
    </w:p>
    <w:tbl>
      <w:tblPr>
        <w:tblW w:type="dxa" w:w="9639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639"/>
      </w:tblGrid>
      <w:tr>
        <w:tc>
          <w:tcPr>
            <w:tcW w:type="dxa" w:w="9639"/>
            <w:shd w:fill="1F3864" w:color="auto" w:val="clear"/>
            <w:tcMar>
              <w:top w:type="dxa" w:w="100"/>
              <w:left w:type="dxa" w:w="150"/>
              <w:bottom w:type="dxa" w:w="100"/>
              <w:right w:type="dxa" w:w="150"/>
            </w:tcMar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8: Контроль воздействия / средства индивидуальной защиты</w:t>
            </w:r>
          </w:p>
        </w:tc>
      </w:tr>
    </w:tbl>
    <w:p>
      <w:pPr>
        <w:spacing w:after="100" w:before="100"/>
      </w:pPr>
    </w:p>
    <w:p>
      <w:pPr>
        <w:spacing w:after="60" w:before="120"/>
      </w:pPr>
      <w:r>
        <w:rPr>
          <w:b/>
          <w:bCs/>
        </w:rPr>
        <w:t xml:space="preserve">8.1 Параметры контроля</w:t>
      </w:r>
    </w:p>
    <w:p>
      <w:pPr>
        <w:spacing w:after="60" w:before="120"/>
      </w:pPr>
      <w:r>
        <w:rPr>
          <w:b/>
          <w:bCs/>
        </w:rPr>
        <w:t xml:space="preserve">Компоненты с предельными значениями, подлежащие контролю на рабочем месте:</w:t>
      </w:r>
    </w:p>
    <w:tbl>
      <w:tblPr>
        <w:tblW w:type="dxa" w:w="9639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4820"/>
        <w:gridCol w:w="4819"/>
      </w:tblGrid>
      <w:tr>
        <w:tc>
          <w:tcPr>
            <w:tcW w:type="dxa" w:w="482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</w:rPr>
              <w:t xml:space="preserve">CAS: 34590-94-8</w:t>
            </w:r>
          </w:p>
        </w:tc>
        <w:tc>
          <w:tcPr>
            <w:tcW w:type="dxa" w:w="4819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</w:rPr>
              <w:t xml:space="preserve">Дипропиленгликоль монометиловый эфир</w:t>
            </w:r>
          </w:p>
        </w:tc>
      </w:tr>
      <w:tr>
        <w:tc>
          <w:tcPr>
            <w:tcW w:type="dxa" w:w="482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</w:rPr>
              <w:t xml:space="preserve">WEL</w:t>
            </w:r>
          </w:p>
        </w:tc>
        <w:tc>
          <w:tcPr>
            <w:tcW w:type="dxa" w:w="4819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</w:rPr>
              <w:t xml:space="preserve">Долгосрочное значение: 308 мг/м³, 50 ppm
Sk</w:t>
            </w:r>
          </w:p>
        </w:tc>
      </w:tr>
    </w:tbl>
    <w:p>
      <w:pPr>
        <w:spacing w:after="100" w:before="100"/>
      </w:pPr>
    </w:p>
    <w:p>
      <w:pPr>
        <w:spacing w:after="60" w:before="120"/>
      </w:pPr>
      <w:r>
        <w:rPr>
          <w:b/>
          <w:bCs/>
        </w:rPr>
        <w:t xml:space="preserve">8.2 Контроль воздействия</w:t>
      </w:r>
    </w:p>
    <w:p>
      <w:pPr>
        <w:spacing w:after="80"/>
      </w:pPr>
      <w:r>
        <w:rPr>
          <w:b/>
          <w:bCs/>
        </w:rPr>
        <w:t xml:space="preserve">Соответствующие технические меры контроля </w:t>
      </w:r>
      <w:r>
        <w:t xml:space="preserve">Дополнительных данных нет; см. раздел 7.</w:t>
      </w:r>
    </w:p>
    <w:p>
      <w:pPr>
        <w:spacing w:after="60" w:before="120"/>
      </w:pPr>
      <w:r>
        <w:rPr>
          <w:b/>
          <w:bCs/>
        </w:rPr>
        <w:t xml:space="preserve">Общие защитные и гигиенические меры:</w:t>
      </w:r>
    </w:p>
    <w:p>
      <w:pPr>
        <w:spacing w:after="80"/>
      </w:pPr>
      <w:r>
        <w:t xml:space="preserve">Обычные меры предосторожности при обращении с химическими веществами.</w:t>
      </w:r>
    </w:p>
    <w:p>
      <w:pPr>
        <w:spacing w:after="80"/>
      </w:pPr>
      <w:r>
        <w:t xml:space="preserve">Избегать контакта с глазами и кожей.</w:t>
      </w:r>
    </w:p>
    <w:p>
      <w:pPr>
        <w:spacing w:after="80"/>
      </w:pPr>
      <w:r>
        <w:t xml:space="preserve">Не допускать контакта с пищевыми продуктами, напитками и кормами.</w:t>
      </w:r>
    </w:p>
    <w:p>
      <w:pPr>
        <w:spacing w:after="80"/>
      </w:pPr>
      <w:r>
        <w:t xml:space="preserve">Мыть руки перед перерывами и по окончании работы.</w:t>
      </w:r>
    </w:p>
    <w:p>
      <w:pPr>
        <w:spacing w:after="80"/>
      </w:pPr>
      <w:r>
        <w:rPr>
          <w:b/>
          <w:bCs/>
        </w:rPr>
        <w:t xml:space="preserve">Защита органов дыхания: </w:t>
      </w:r>
      <w:r>
        <w:t xml:space="preserve">Не требуется.</w:t>
      </w:r>
    </w:p>
    <w:p>
      <w:pPr>
        <w:spacing w:after="60" w:before="120"/>
      </w:pPr>
      <w:r>
        <w:rPr>
          <w:b/>
          <w:bCs/>
        </w:rPr>
        <w:t xml:space="preserve">Защита рук</w:t>
      </w:r>
    </w:p>
    <w:p>
      <w:pPr>
        <w:spacing w:after="80"/>
      </w:pPr>
      <w:r>
        <w:t xml:space="preserve">Перчатки из ПВХ или ПЭ (EN 374)</w:t>
      </w:r>
    </w:p>
    <w:p>
      <w:pPr>
        <w:spacing w:after="80"/>
      </w:pPr>
      <w:r>
        <w:rPr>
          <w:b/>
          <w:bCs/>
        </w:rPr>
        <w:t xml:space="preserve">Материал перчаток: </w:t>
      </w:r>
      <w:r>
        <w:t xml:space="preserve">Перчатки из ПВХ или ПЭ (EN 374)</w:t>
      </w:r>
    </w:p>
    <w:p>
      <w:pPr>
        <w:spacing w:after="80"/>
      </w:pPr>
      <w:r>
        <w:rPr>
          <w:b/>
          <w:bCs/>
        </w:rPr>
        <w:t xml:space="preserve">Время проникновения материала перчаток: </w:t>
      </w:r>
      <w:r>
        <w:t xml:space="preserve">Точное время прорыва должно быть установлено производителем защитных перчаток и соблюдаться.</w:t>
      </w:r>
    </w:p>
    <w:p>
      <w:pPr>
        <w:spacing w:after="80"/>
      </w:pPr>
      <w:r>
        <w:rPr>
          <w:b/>
          <w:bCs/>
        </w:rPr>
        <w:t xml:space="preserve">Защита глаз/лица: </w:t>
      </w:r>
      <w:r>
        <w:t xml:space="preserve">Защитные очки (EN 166)</w:t>
      </w:r>
    </w:p>
    <w:tbl>
      <w:tblPr>
        <w:tblW w:type="dxa" w:w="9639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639"/>
      </w:tblGrid>
      <w:tr>
        <w:tc>
          <w:tcPr>
            <w:tcW w:type="dxa" w:w="9639"/>
            <w:shd w:fill="1F3864" w:color="auto" w:val="clear"/>
            <w:tcMar>
              <w:top w:type="dxa" w:w="100"/>
              <w:left w:type="dxa" w:w="150"/>
              <w:bottom w:type="dxa" w:w="100"/>
              <w:right w:type="dxa" w:w="150"/>
            </w:tcMar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9: Физические и химические свойства</w:t>
            </w:r>
          </w:p>
        </w:tc>
      </w:tr>
    </w:tbl>
    <w:p>
      <w:pPr>
        <w:spacing w:after="100" w:before="100"/>
      </w:pPr>
    </w:p>
    <w:p>
      <w:pPr>
        <w:spacing w:after="60" w:before="120"/>
      </w:pPr>
      <w:r>
        <w:rPr>
          <w:b/>
          <w:bCs/>
        </w:rPr>
        <w:t xml:space="preserve">9.1 Информация об основных физических и химических свойствах</w:t>
      </w:r>
    </w:p>
    <w:p>
      <w:pPr>
        <w:spacing w:after="60" w:before="120"/>
      </w:pPr>
      <w:r>
        <w:rPr>
          <w:b/>
          <w:bCs/>
        </w:rPr>
        <w:t xml:space="preserve">Общая информация</w:t>
      </w:r>
    </w:p>
    <w:tbl>
      <w:tblPr>
        <w:tblW w:type="dxa" w:w="9639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4820"/>
        <w:gridCol w:w="4819"/>
      </w:tblGrid>
      <w:tr>
        <w:tc>
          <w:tcPr>
            <w:tcW w:type="dxa" w:w="482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</w:rPr>
              <w:t xml:space="preserve">Физическое состояние</w:t>
            </w:r>
          </w:p>
        </w:tc>
        <w:tc>
          <w:tcPr>
            <w:tcW w:type="dxa" w:w="4819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</w:rPr>
              <w:t xml:space="preserve">Жидкость</w:t>
            </w:r>
          </w:p>
        </w:tc>
      </w:tr>
      <w:tr>
        <w:tc>
          <w:tcPr>
            <w:tcW w:type="dxa" w:w="482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</w:rPr>
              <w:t xml:space="preserve">Цвет:</w:t>
            </w:r>
          </w:p>
        </w:tc>
        <w:tc>
          <w:tcPr>
            <w:tcW w:type="dxa" w:w="4819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</w:rPr>
              <w:t xml:space="preserve">Светло-жёлтый</w:t>
            </w:r>
          </w:p>
        </w:tc>
      </w:tr>
      <w:tr>
        <w:tc>
          <w:tcPr>
            <w:tcW w:type="dxa" w:w="482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</w:rPr>
              <w:t xml:space="preserve">Запах:</w:t>
            </w:r>
          </w:p>
        </w:tc>
        <w:tc>
          <w:tcPr>
            <w:tcW w:type="dxa" w:w="4819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</w:rPr>
              <w:t xml:space="preserve">Слабый, характерный</w:t>
            </w:r>
          </w:p>
        </w:tc>
      </w:tr>
      <w:tr>
        <w:tc>
          <w:tcPr>
            <w:tcW w:type="dxa" w:w="482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</w:rPr>
              <w:t xml:space="preserve">Порог восприятия запаха:</w:t>
            </w:r>
          </w:p>
        </w:tc>
        <w:tc>
          <w:tcPr>
            <w:tcW w:type="dxa" w:w="4819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</w:rPr>
              <w:t xml:space="preserve">Не определён</w:t>
            </w:r>
          </w:p>
        </w:tc>
      </w:tr>
      <w:tr>
        <w:tc>
          <w:tcPr>
            <w:tcW w:type="dxa" w:w="482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</w:rPr>
              <w:t xml:space="preserve">Точка плавления/замерзания:</w:t>
            </w:r>
          </w:p>
        </w:tc>
        <w:tc>
          <w:tcPr>
            <w:tcW w:type="dxa" w:w="4819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</w:rPr>
              <w:t xml:space="preserve">Не определена</w:t>
            </w:r>
          </w:p>
        </w:tc>
      </w:tr>
      <w:tr>
        <w:tc>
          <w:tcPr>
            <w:tcW w:type="dxa" w:w="482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</w:rPr>
              <w:t xml:space="preserve">Точка кипения или начальная точка кипения и диапазон кипения</w:t>
            </w:r>
          </w:p>
        </w:tc>
        <w:tc>
          <w:tcPr>
            <w:tcW w:type="dxa" w:w="4819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</w:rPr>
              <w:t xml:space="preserve">Не определена</w:t>
            </w:r>
          </w:p>
        </w:tc>
      </w:tr>
      <w:tr>
        <w:tc>
          <w:tcPr>
            <w:tcW w:type="dxa" w:w="482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</w:rPr>
              <w:t xml:space="preserve">Воспламеняемость</w:t>
            </w:r>
          </w:p>
        </w:tc>
        <w:tc>
          <w:tcPr>
            <w:tcW w:type="dxa" w:w="4819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</w:rPr>
              <w:t xml:space="preserve">Не применимо</w:t>
            </w:r>
          </w:p>
        </w:tc>
      </w:tr>
      <w:tr>
        <w:tc>
          <w:tcPr>
            <w:tcW w:type="dxa" w:w="482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</w:rPr>
              <w:t xml:space="preserve">Нижний предел взрываемости:</w:t>
            </w:r>
          </w:p>
        </w:tc>
        <w:tc>
          <w:tcPr>
            <w:tcW w:type="dxa" w:w="4819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</w:rPr>
              <w:t xml:space="preserve">Не определён</w:t>
            </w:r>
          </w:p>
        </w:tc>
      </w:tr>
      <w:tr>
        <w:tc>
          <w:tcPr>
            <w:tcW w:type="dxa" w:w="482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</w:rPr>
              <w:t xml:space="preserve">Верхний предел взрываемости:</w:t>
            </w:r>
          </w:p>
        </w:tc>
        <w:tc>
          <w:tcPr>
            <w:tcW w:type="dxa" w:w="4819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</w:rPr>
              <w:t xml:space="preserve">Не определён</w:t>
            </w:r>
          </w:p>
        </w:tc>
      </w:tr>
      <w:tr>
        <w:tc>
          <w:tcPr>
            <w:tcW w:type="dxa" w:w="482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</w:rPr>
              <w:t xml:space="preserve">Температура вспышки:</w:t>
            </w:r>
          </w:p>
        </w:tc>
        <w:tc>
          <w:tcPr>
            <w:tcW w:type="dxa" w:w="4819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</w:rPr>
              <w:t xml:space="preserve">Не применимо</w:t>
            </w:r>
          </w:p>
        </w:tc>
      </w:tr>
      <w:tr>
        <w:tc>
          <w:tcPr>
            <w:tcW w:type="dxa" w:w="482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</w:rPr>
              <w:t xml:space="preserve">Температура самовоспламенения:</w:t>
            </w:r>
          </w:p>
        </w:tc>
        <w:tc>
          <w:tcPr>
            <w:tcW w:type="dxa" w:w="4819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</w:rPr>
              <w:t xml:space="preserve">&gt;200 °C</w:t>
            </w:r>
          </w:p>
        </w:tc>
      </w:tr>
      <w:tr>
        <w:tc>
          <w:tcPr>
            <w:tcW w:type="dxa" w:w="482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</w:rPr>
              <w:t xml:space="preserve">Температура разложения:</w:t>
            </w:r>
          </w:p>
        </w:tc>
        <w:tc>
          <w:tcPr>
            <w:tcW w:type="dxa" w:w="4819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</w:rPr>
              <w:t xml:space="preserve">Не определена</w:t>
            </w:r>
          </w:p>
        </w:tc>
      </w:tr>
      <w:tr>
        <w:tc>
          <w:tcPr>
            <w:tcW w:type="dxa" w:w="482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</w:rPr>
              <w:t xml:space="preserve">pH при 20 °C</w:t>
            </w:r>
          </w:p>
        </w:tc>
        <w:tc>
          <w:tcPr>
            <w:tcW w:type="dxa" w:w="4819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</w:rPr>
              <w:t xml:space="preserve">7,9</w:t>
            </w:r>
          </w:p>
        </w:tc>
      </w:tr>
      <w:tr>
        <w:tc>
          <w:tcPr>
            <w:tcW w:type="dxa" w:w="482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</w:rPr>
              <w:t xml:space="preserve">Кинематическая вязкость при 20 °C</w:t>
            </w:r>
          </w:p>
        </w:tc>
        <w:tc>
          <w:tcPr>
            <w:tcW w:type="dxa" w:w="4819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</w:rPr>
              <w:t xml:space="preserve">20 с (DIN 53211/4)</w:t>
            </w:r>
          </w:p>
        </w:tc>
      </w:tr>
      <w:tr>
        <w:tc>
          <w:tcPr>
            <w:tcW w:type="dxa" w:w="482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</w:rPr>
              <w:t xml:space="preserve">Динамическая вязкость:</w:t>
            </w:r>
          </w:p>
        </w:tc>
        <w:tc>
          <w:tcPr>
            <w:tcW w:type="dxa" w:w="4819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</w:rPr>
              <w:t xml:space="preserve">Не определена</w:t>
            </w:r>
          </w:p>
        </w:tc>
      </w:tr>
      <w:tr>
        <w:tc>
          <w:tcPr>
            <w:tcW w:type="dxa" w:w="482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</w:rPr>
              <w:t xml:space="preserve">Растворимость в воде:</w:t>
            </w:r>
          </w:p>
        </w:tc>
        <w:tc>
          <w:tcPr>
            <w:tcW w:type="dxa" w:w="4819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</w:rPr>
              <w:t xml:space="preserve">Полностью смешивается.</w:t>
            </w:r>
          </w:p>
        </w:tc>
      </w:tr>
      <w:tr>
        <w:tc>
          <w:tcPr>
            <w:tcW w:type="dxa" w:w="482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</w:rPr>
              <w:t xml:space="preserve">Коэффициент распределения н-октанол/вода (log)</w:t>
            </w:r>
          </w:p>
        </w:tc>
        <w:tc>
          <w:tcPr>
            <w:tcW w:type="dxa" w:w="4819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</w:rPr>
              <w:t xml:space="preserve">Не определён</w:t>
            </w:r>
          </w:p>
        </w:tc>
      </w:tr>
      <w:tr>
        <w:tc>
          <w:tcPr>
            <w:tcW w:type="dxa" w:w="482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</w:rPr>
              <w:t xml:space="preserve">Давление паров:</w:t>
            </w:r>
          </w:p>
        </w:tc>
        <w:tc>
          <w:tcPr>
            <w:tcW w:type="dxa" w:w="4819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</w:rPr>
              <w:t xml:space="preserve">Не определено</w:t>
            </w:r>
          </w:p>
        </w:tc>
      </w:tr>
      <w:tr>
        <w:tc>
          <w:tcPr>
            <w:tcW w:type="dxa" w:w="482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</w:rPr>
              <w:t xml:space="preserve">Плотность при 20 °C:</w:t>
            </w:r>
          </w:p>
        </w:tc>
        <w:tc>
          <w:tcPr>
            <w:tcW w:type="dxa" w:w="4819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</w:rPr>
              <w:t xml:space="preserve">1,04 г/см³</w:t>
            </w:r>
          </w:p>
        </w:tc>
      </w:tr>
      <w:tr>
        <w:tc>
          <w:tcPr>
            <w:tcW w:type="dxa" w:w="482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</w:rPr>
              <w:t xml:space="preserve">Относительная плотность</w:t>
            </w:r>
          </w:p>
        </w:tc>
        <w:tc>
          <w:tcPr>
            <w:tcW w:type="dxa" w:w="4819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</w:rPr>
              <w:t xml:space="preserve">Не определена</w:t>
            </w:r>
          </w:p>
        </w:tc>
      </w:tr>
      <w:tr>
        <w:tc>
          <w:tcPr>
            <w:tcW w:type="dxa" w:w="482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</w:rPr>
              <w:t xml:space="preserve">Плотность паров</w:t>
            </w:r>
          </w:p>
        </w:tc>
        <w:tc>
          <w:tcPr>
            <w:tcW w:type="dxa" w:w="4819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</w:rPr>
              <w:t xml:space="preserve">Не определена</w:t>
            </w:r>
          </w:p>
        </w:tc>
      </w:tr>
    </w:tbl>
    <w:p>
      <w:pPr>
        <w:spacing w:after="100" w:before="100"/>
      </w:pPr>
    </w:p>
    <w:p>
      <w:pPr>
        <w:spacing w:after="60" w:before="120"/>
      </w:pPr>
      <w:r>
        <w:rPr>
          <w:b/>
          <w:bCs/>
        </w:rPr>
        <w:t xml:space="preserve">9.2 Прочая информация</w:t>
      </w:r>
    </w:p>
    <w:p>
      <w:pPr>
        <w:spacing w:after="80"/>
      </w:pPr>
      <w:r>
        <w:rPr>
          <w:b/>
          <w:bCs/>
        </w:rPr>
        <w:t xml:space="preserve">Форма: </w:t>
      </w:r>
      <w:r>
        <w:t xml:space="preserve">Жидкая</w:t>
      </w:r>
    </w:p>
    <w:p>
      <w:pPr>
        <w:spacing w:after="80"/>
      </w:pPr>
      <w:r>
        <w:rPr>
          <w:b/>
          <w:bCs/>
        </w:rPr>
        <w:t xml:space="preserve">Температура воспламенения: </w:t>
      </w:r>
      <w:r>
        <w:t xml:space="preserve">Продукт не является самовоспламеняющимся.</w:t>
      </w:r>
    </w:p>
    <w:p>
      <w:pPr>
        <w:spacing w:after="80"/>
      </w:pPr>
      <w:r>
        <w:rPr>
          <w:b/>
          <w:bCs/>
        </w:rPr>
        <w:t xml:space="preserve">Взрывоопасные свойства: </w:t>
      </w:r>
      <w:r>
        <w:t xml:space="preserve">Продукт не представляет взрывоопасности.</w:t>
      </w:r>
    </w:p>
    <w:p>
      <w:pPr>
        <w:spacing w:after="80"/>
      </w:pPr>
      <w:r>
        <w:rPr>
          <w:b/>
          <w:bCs/>
        </w:rPr>
        <w:t xml:space="preserve">Содержание растворителей — органические растворители: </w:t>
      </w:r>
      <w:r>
        <w:t xml:space="preserve">1,7 %</w:t>
      </w:r>
    </w:p>
    <w:p>
      <w:pPr>
        <w:spacing w:after="80"/>
      </w:pPr>
      <w:r>
        <w:rPr>
          <w:b/>
          <w:bCs/>
        </w:rPr>
        <w:t xml:space="preserve">Скорость испарения </w:t>
      </w:r>
      <w:r>
        <w:t xml:space="preserve">Не определена</w:t>
      </w:r>
    </w:p>
    <w:p>
      <w:pPr>
        <w:spacing w:after="60" w:before="120"/>
      </w:pPr>
      <w:r>
        <w:rPr>
          <w:b/>
          <w:bCs/>
        </w:rPr>
        <w:t xml:space="preserve">Информация в отношении классов физической опасности</w:t>
      </w:r>
    </w:p>
    <w:p>
      <w:pPr>
        <w:spacing w:after="80"/>
      </w:pPr>
      <w:r>
        <w:rPr>
          <w:b/>
          <w:bCs/>
        </w:rPr>
        <w:t xml:space="preserve">Взрывчатые вещества </w:t>
      </w:r>
      <w:r>
        <w:t xml:space="preserve">Не применимо (Void)</w:t>
      </w:r>
    </w:p>
    <w:p>
      <w:pPr>
        <w:spacing w:after="80"/>
      </w:pPr>
      <w:r>
        <w:rPr>
          <w:b/>
          <w:bCs/>
        </w:rPr>
        <w:t xml:space="preserve">Легковоспламеняющиеся газы </w:t>
      </w:r>
      <w:r>
        <w:t xml:space="preserve">Не применимо (Void)</w:t>
      </w:r>
    </w:p>
    <w:p>
      <w:pPr>
        <w:spacing w:after="80"/>
      </w:pPr>
      <w:r>
        <w:rPr>
          <w:b/>
          <w:bCs/>
        </w:rPr>
        <w:t xml:space="preserve">Аэрозоли </w:t>
      </w:r>
      <w:r>
        <w:t xml:space="preserve">Не применимо (Void)</w:t>
      </w:r>
    </w:p>
    <w:p>
      <w:pPr>
        <w:spacing w:after="80"/>
      </w:pPr>
      <w:r>
        <w:rPr>
          <w:b/>
          <w:bCs/>
        </w:rPr>
        <w:t xml:space="preserve">Окисляющие газы </w:t>
      </w:r>
      <w:r>
        <w:t xml:space="preserve">Не применимо (Void)</w:t>
      </w:r>
    </w:p>
    <w:p>
      <w:pPr>
        <w:spacing w:after="80"/>
      </w:pPr>
      <w:r>
        <w:rPr>
          <w:b/>
          <w:bCs/>
        </w:rPr>
        <w:t xml:space="preserve">Газы под давлением </w:t>
      </w:r>
      <w:r>
        <w:t xml:space="preserve">Не применимо (Void)</w:t>
      </w:r>
    </w:p>
    <w:p>
      <w:pPr>
        <w:spacing w:after="80"/>
      </w:pPr>
      <w:r>
        <w:rPr>
          <w:b/>
          <w:bCs/>
        </w:rPr>
        <w:t xml:space="preserve">Легковоспламеняющиеся жидкости </w:t>
      </w:r>
      <w:r>
        <w:t xml:space="preserve">Не применимо (Void)</w:t>
      </w:r>
    </w:p>
    <w:p>
      <w:pPr>
        <w:spacing w:after="80"/>
      </w:pPr>
      <w:r>
        <w:rPr>
          <w:b/>
          <w:bCs/>
        </w:rPr>
        <w:t xml:space="preserve">Легковоспламеняющиеся твёрдые вещества </w:t>
      </w:r>
      <w:r>
        <w:t xml:space="preserve">Не применимо (Void)</w:t>
      </w:r>
    </w:p>
    <w:p>
      <w:pPr>
        <w:spacing w:after="80"/>
      </w:pPr>
      <w:r>
        <w:rPr>
          <w:b/>
          <w:bCs/>
        </w:rPr>
        <w:t xml:space="preserve">Саморазлагающиеся вещества и смеси </w:t>
      </w:r>
      <w:r>
        <w:t xml:space="preserve">Не применимо (Void)</w:t>
      </w:r>
    </w:p>
    <w:p>
      <w:pPr>
        <w:spacing w:after="80"/>
      </w:pPr>
      <w:r>
        <w:rPr>
          <w:b/>
          <w:bCs/>
        </w:rPr>
        <w:t xml:space="preserve">Пирофорные жидкости </w:t>
      </w:r>
      <w:r>
        <w:t xml:space="preserve">Не применимо (Void)</w:t>
      </w:r>
    </w:p>
    <w:p>
      <w:pPr>
        <w:spacing w:after="80"/>
      </w:pPr>
      <w:r>
        <w:rPr>
          <w:b/>
          <w:bCs/>
        </w:rPr>
        <w:t xml:space="preserve">Пирофорные твёрдые вещества </w:t>
      </w:r>
      <w:r>
        <w:t xml:space="preserve">Не применимо (Void)</w:t>
      </w:r>
    </w:p>
    <w:p>
      <w:pPr>
        <w:spacing w:after="80"/>
      </w:pPr>
      <w:r>
        <w:rPr>
          <w:b/>
          <w:bCs/>
        </w:rPr>
        <w:t xml:space="preserve">Самонагревающиеся вещества и смеси </w:t>
      </w:r>
      <w:r>
        <w:t xml:space="preserve">Не применимо (Void)</w:t>
      </w:r>
    </w:p>
    <w:p>
      <w:pPr>
        <w:spacing w:after="80"/>
      </w:pPr>
      <w:r>
        <w:rPr>
          <w:b/>
          <w:bCs/>
        </w:rPr>
        <w:t xml:space="preserve">Вещества и смеси, выделяющие легковоспламеняющиеся газы при контакте с водой </w:t>
      </w:r>
      <w:r>
        <w:t xml:space="preserve">Не применимо (Void)</w:t>
      </w:r>
    </w:p>
    <w:p>
      <w:pPr>
        <w:spacing w:after="80"/>
      </w:pPr>
      <w:r>
        <w:rPr>
          <w:b/>
          <w:bCs/>
        </w:rPr>
        <w:t xml:space="preserve">Окисляющие жидкости </w:t>
      </w:r>
      <w:r>
        <w:t xml:space="preserve">Не применимо (Void)</w:t>
      </w:r>
    </w:p>
    <w:p>
      <w:pPr>
        <w:spacing w:after="80"/>
      </w:pPr>
      <w:r>
        <w:rPr>
          <w:b/>
          <w:bCs/>
        </w:rPr>
        <w:t xml:space="preserve">Окисляющие твёрдые вещества </w:t>
      </w:r>
      <w:r>
        <w:t xml:space="preserve">Не применимо (Void)</w:t>
      </w:r>
    </w:p>
    <w:p>
      <w:pPr>
        <w:spacing w:after="80"/>
      </w:pPr>
      <w:r>
        <w:rPr>
          <w:b/>
          <w:bCs/>
        </w:rPr>
        <w:t xml:space="preserve">Органические пероксиды </w:t>
      </w:r>
      <w:r>
        <w:t xml:space="preserve">Не применимо (Void)</w:t>
      </w:r>
    </w:p>
    <w:p>
      <w:pPr>
        <w:spacing w:after="80"/>
      </w:pPr>
      <w:r>
        <w:rPr>
          <w:b/>
          <w:bCs/>
        </w:rPr>
        <w:t xml:space="preserve">Коррозионность в отношении металлов </w:t>
      </w:r>
      <w:r>
        <w:t xml:space="preserve">Не применимо (Void)</w:t>
      </w:r>
    </w:p>
    <w:p>
      <w:pPr>
        <w:spacing w:after="80"/>
      </w:pPr>
      <w:r>
        <w:rPr>
          <w:b/>
          <w:bCs/>
        </w:rPr>
        <w:t xml:space="preserve">Десенсибилизированные взрывчатые вещества </w:t>
      </w:r>
      <w:r>
        <w:t xml:space="preserve">Не применимо (Void)</w:t>
      </w:r>
    </w:p>
    <w:tbl>
      <w:tblPr>
        <w:tblW w:type="dxa" w:w="9639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639"/>
      </w:tblGrid>
      <w:tr>
        <w:tc>
          <w:tcPr>
            <w:tcW w:type="dxa" w:w="9639"/>
            <w:shd w:fill="1F3864" w:color="auto" w:val="clear"/>
            <w:tcMar>
              <w:top w:type="dxa" w:w="100"/>
              <w:left w:type="dxa" w:w="150"/>
              <w:bottom w:type="dxa" w:w="100"/>
              <w:right w:type="dxa" w:w="150"/>
            </w:tcMar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10: Стабильность и реакционная способность</w:t>
            </w:r>
          </w:p>
        </w:tc>
      </w:tr>
    </w:tbl>
    <w:p>
      <w:pPr>
        <w:spacing w:after="100" w:before="100"/>
      </w:pPr>
    </w:p>
    <w:p>
      <w:pPr>
        <w:spacing w:after="80"/>
      </w:pPr>
      <w:r>
        <w:rPr>
          <w:b/>
          <w:bCs/>
        </w:rPr>
        <w:t xml:space="preserve">10.1 Реакционная способность </w:t>
      </w:r>
      <w:r>
        <w:t xml:space="preserve">Дополнительная значимая информация отсутствует.</w:t>
      </w:r>
    </w:p>
    <w:p>
      <w:pPr>
        <w:spacing w:after="80"/>
      </w:pPr>
      <w:r>
        <w:rPr>
          <w:b/>
          <w:bCs/>
        </w:rPr>
        <w:t xml:space="preserve">10.2 Химическая стабильность </w:t>
      </w:r>
      <w:r>
        <w:t xml:space="preserve"/>
      </w:r>
    </w:p>
    <w:p>
      <w:pPr>
        <w:spacing w:after="80"/>
      </w:pPr>
      <w:r>
        <w:rPr>
          <w:b/>
          <w:bCs/>
        </w:rPr>
        <w:t xml:space="preserve">Термическое разложение / условия, которых следует избегать: </w:t>
      </w:r>
      <w:r>
        <w:t xml:space="preserve">Разложения не происходит при использовании по назначению.</w:t>
      </w:r>
    </w:p>
    <w:p>
      <w:pPr>
        <w:spacing w:after="80"/>
      </w:pPr>
      <w:r>
        <w:rPr>
          <w:b/>
          <w:bCs/>
        </w:rPr>
        <w:t xml:space="preserve">10.3 Возможность опасных реакций </w:t>
      </w:r>
      <w:r>
        <w:t xml:space="preserve">Опасные реакции неизвестны.</w:t>
      </w:r>
    </w:p>
    <w:p>
      <w:pPr>
        <w:spacing w:after="80"/>
      </w:pPr>
      <w:r>
        <w:rPr>
          <w:b/>
          <w:bCs/>
        </w:rPr>
        <w:t xml:space="preserve">10.4 Условия, которых следует избегать </w:t>
      </w:r>
      <w:r>
        <w:t xml:space="preserve">Дополнительная значимая информация отсутствует.</w:t>
      </w:r>
    </w:p>
    <w:p>
      <w:pPr>
        <w:spacing w:after="80"/>
      </w:pPr>
      <w:r>
        <w:rPr>
          <w:b/>
          <w:bCs/>
        </w:rPr>
        <w:t xml:space="preserve">10.5 Несовместимые материалы: </w:t>
      </w:r>
      <w:r>
        <w:t xml:space="preserve">Дополнительная значимая информация отсутствует.</w:t>
      </w:r>
    </w:p>
    <w:p>
      <w:pPr>
        <w:spacing w:after="80"/>
      </w:pPr>
      <w:r>
        <w:rPr>
          <w:b/>
          <w:bCs/>
        </w:rPr>
        <w:t xml:space="preserve">10.6 Опасные продукты разложения: </w:t>
      </w:r>
      <w:r>
        <w:t xml:space="preserve">Опасные продукты разложения неизвестны.</w:t>
      </w:r>
    </w:p>
    <w:tbl>
      <w:tblPr>
        <w:tblW w:type="dxa" w:w="9639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639"/>
      </w:tblGrid>
      <w:tr>
        <w:tc>
          <w:tcPr>
            <w:tcW w:type="dxa" w:w="9639"/>
            <w:shd w:fill="1F3864" w:color="auto" w:val="clear"/>
            <w:tcMar>
              <w:top w:type="dxa" w:w="100"/>
              <w:left w:type="dxa" w:w="150"/>
              <w:bottom w:type="dxa" w:w="100"/>
              <w:right w:type="dxa" w:w="150"/>
            </w:tcMar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11: Токсикологическая информация</w:t>
            </w:r>
          </w:p>
        </w:tc>
      </w:tr>
    </w:tbl>
    <w:p>
      <w:pPr>
        <w:spacing w:after="100" w:before="100"/>
      </w:pPr>
    </w:p>
    <w:p>
      <w:pPr>
        <w:spacing w:after="60" w:before="120"/>
      </w:pPr>
      <w:r>
        <w:rPr>
          <w:b/>
          <w:bCs/>
        </w:rPr>
        <w:t xml:space="preserve">11.1 Информация о классах опасности согласно Регламенту (ЕС) № 1272/2008</w:t>
      </w:r>
    </w:p>
    <w:p>
      <w:pPr>
        <w:spacing w:after="80"/>
      </w:pPr>
      <w:r>
        <w:rPr>
          <w:b/>
          <w:bCs/>
        </w:rPr>
        <w:t xml:space="preserve">Острая токсичность </w:t>
      </w:r>
      <w:r>
        <w:t xml:space="preserve">На основании имеющихся данных критерии классификации не выполняются.</w:t>
      </w:r>
    </w:p>
    <w:p>
      <w:pPr>
        <w:spacing w:after="60" w:before="120"/>
      </w:pPr>
      <w:r>
        <w:rPr>
          <w:b/>
          <w:bCs/>
        </w:rPr>
        <w:t xml:space="preserve">Значения LD/LC50, значимые для классификации:</w:t>
      </w:r>
    </w:p>
    <w:p>
      <w:pPr>
        <w:spacing w:after="80"/>
      </w:pPr>
      <w:r>
        <w:t xml:space="preserve">CAS: 34590-94-8 Дипропиленгликоль монометиловый эфир</w:t>
      </w:r>
    </w:p>
    <w:p>
      <w:pPr>
        <w:spacing w:after="80"/>
      </w:pPr>
      <w:r>
        <w:t xml:space="preserve">Оральная LD50 5 135 мг/кг (крыса)</w:t>
      </w:r>
    </w:p>
    <w:p>
      <w:pPr>
        <w:spacing w:after="80"/>
      </w:pPr>
      <w:r>
        <w:t xml:space="preserve">Дермальная LD50 &gt;19 000 мг/кг (кролик)</w:t>
      </w:r>
    </w:p>
    <w:p>
      <w:pPr>
        <w:spacing w:after="80"/>
      </w:pPr>
      <w:r>
        <w:t xml:space="preserve">CAS: 2634-33-5 1,2-бензизотиазол-3(2H)-он</w:t>
      </w:r>
    </w:p>
    <w:p>
      <w:pPr>
        <w:spacing w:after="80"/>
      </w:pPr>
      <w:r>
        <w:t xml:space="preserve">Оральная LD50 450 мг/кг (ATE)</w:t>
      </w:r>
    </w:p>
    <w:p>
      <w:pPr>
        <w:spacing w:after="80"/>
      </w:pPr>
      <w:r>
        <w:t xml:space="preserve">Ингаляционная LC50/4ч 0,21 мг/л (ATE)</w:t>
      </w:r>
    </w:p>
    <w:p>
      <w:pPr>
        <w:spacing w:after="60" w:before="120"/>
      </w:pPr>
      <w:r>
        <w:rPr>
          <w:b/>
          <w:bCs/>
        </w:rPr>
        <w:t xml:space="preserve">Первичное раздражающее действие:</w:t>
      </w:r>
    </w:p>
    <w:p>
      <w:pPr>
        <w:spacing w:after="80"/>
      </w:pPr>
      <w:r>
        <w:rPr>
          <w:b/>
          <w:bCs/>
        </w:rPr>
        <w:t xml:space="preserve">Коррозия/раздражение кожи </w:t>
      </w:r>
      <w:r>
        <w:t xml:space="preserve">На основании имеющихся данных критерии классификации не выполняются.</w:t>
      </w:r>
    </w:p>
    <w:p>
      <w:pPr>
        <w:spacing w:after="80"/>
      </w:pPr>
      <w:r>
        <w:rPr>
          <w:b/>
          <w:bCs/>
        </w:rPr>
        <w:t xml:space="preserve">Серьёзное повреждение глаз/раздражение </w:t>
      </w:r>
      <w:r>
        <w:t xml:space="preserve">На основании имеющихся данных критерии классификации не выполняются.</w:t>
      </w:r>
    </w:p>
    <w:p>
      <w:pPr>
        <w:spacing w:after="80"/>
      </w:pPr>
      <w:r>
        <w:rPr>
          <w:b/>
          <w:bCs/>
        </w:rPr>
        <w:t xml:space="preserve">Сенсибилизация дыхательных путей или кожи </w:t>
      </w:r>
      <w:r>
        <w:t xml:space="preserve">На основании имеющихся данных критерии классификации не выполняются.</w:t>
      </w:r>
    </w:p>
    <w:p>
      <w:pPr>
        <w:spacing w:after="80"/>
      </w:pPr>
      <w:r>
        <w:rPr>
          <w:b/>
          <w:bCs/>
        </w:rPr>
        <w:t xml:space="preserve">Мутагенность зародышевых клеток </w:t>
      </w:r>
      <w:r>
        <w:t xml:space="preserve">На основании имеющихся данных критерии классификации не выполняются.</w:t>
      </w:r>
    </w:p>
    <w:p>
      <w:pPr>
        <w:spacing w:after="80"/>
      </w:pPr>
      <w:r>
        <w:rPr>
          <w:b/>
          <w:bCs/>
        </w:rPr>
        <w:t xml:space="preserve">Канцерогенность </w:t>
      </w:r>
      <w:r>
        <w:t xml:space="preserve">На основании имеющихся данных критерии классификации не выполняются.</w:t>
      </w:r>
    </w:p>
    <w:p>
      <w:pPr>
        <w:spacing w:after="80"/>
      </w:pPr>
      <w:r>
        <w:rPr>
          <w:b/>
          <w:bCs/>
        </w:rPr>
        <w:t xml:space="preserve">Репродуктивная токсичность </w:t>
      </w:r>
      <w:r>
        <w:t xml:space="preserve">На основании имеющихся данных критерии классификации не выполняются.</w:t>
      </w:r>
    </w:p>
    <w:p>
      <w:pPr>
        <w:spacing w:after="80"/>
      </w:pPr>
      <w:r>
        <w:rPr>
          <w:b/>
          <w:bCs/>
        </w:rPr>
        <w:t xml:space="preserve">Специфическая токсичность на органы-мишени (однократное воздействие) </w:t>
      </w:r>
      <w:r>
        <w:t xml:space="preserve">На основании имеющихся данных критерии классификации не выполняются.</w:t>
      </w:r>
    </w:p>
    <w:p>
      <w:pPr>
        <w:spacing w:after="80"/>
      </w:pPr>
      <w:r>
        <w:rPr>
          <w:b/>
          <w:bCs/>
        </w:rPr>
        <w:t xml:space="preserve">Специфическая токсичность на органы-мишени (повторное воздействие) </w:t>
      </w:r>
      <w:r>
        <w:t xml:space="preserve">На основании имеющихся данных критерии классификации не выполняются.</w:t>
      </w:r>
    </w:p>
    <w:p>
      <w:pPr>
        <w:spacing w:after="80"/>
      </w:pPr>
      <w:r>
        <w:rPr>
          <w:b/>
          <w:bCs/>
        </w:rPr>
        <w:t xml:space="preserve">Опасность при аспирации </w:t>
      </w:r>
      <w:r>
        <w:t xml:space="preserve">На основании имеющихся данных критерии классификации не выполняются.</w:t>
      </w:r>
    </w:p>
    <w:p>
      <w:pPr>
        <w:spacing w:after="60" w:before="120"/>
      </w:pPr>
      <w:r>
        <w:rPr>
          <w:b/>
          <w:bCs/>
        </w:rPr>
        <w:t xml:space="preserve">11.2 Информация о прочих опасностях</w:t>
      </w:r>
    </w:p>
    <w:p>
      <w:pPr>
        <w:spacing w:after="80"/>
      </w:pPr>
      <w:r>
        <w:rPr>
          <w:b/>
          <w:bCs/>
        </w:rPr>
        <w:t xml:space="preserve">Свойства эндокринных разрушителей </w:t>
      </w:r>
      <w:r>
        <w:t xml:space="preserve">Ни один из компонентов не включён в список.</w:t>
      </w:r>
    </w:p>
    <w:tbl>
      <w:tblPr>
        <w:tblW w:type="dxa" w:w="9639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639"/>
      </w:tblGrid>
      <w:tr>
        <w:tc>
          <w:tcPr>
            <w:tcW w:type="dxa" w:w="9639"/>
            <w:shd w:fill="1F3864" w:color="auto" w:val="clear"/>
            <w:tcMar>
              <w:top w:type="dxa" w:w="100"/>
              <w:left w:type="dxa" w:w="150"/>
              <w:bottom w:type="dxa" w:w="100"/>
              <w:right w:type="dxa" w:w="150"/>
            </w:tcMar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12: Экологическая информация</w:t>
            </w:r>
          </w:p>
        </w:tc>
      </w:tr>
    </w:tbl>
    <w:p>
      <w:pPr>
        <w:spacing w:after="100" w:before="100"/>
      </w:pPr>
    </w:p>
    <w:p>
      <w:pPr>
        <w:spacing w:after="80"/>
      </w:pPr>
      <w:r>
        <w:rPr>
          <w:b/>
          <w:bCs/>
        </w:rPr>
        <w:t xml:space="preserve">12.1 Токсичность </w:t>
      </w:r>
      <w:r>
        <w:t xml:space="preserve"/>
      </w:r>
    </w:p>
    <w:p>
      <w:pPr>
        <w:spacing w:after="80"/>
      </w:pPr>
      <w:r>
        <w:rPr>
          <w:b/>
          <w:bCs/>
        </w:rPr>
        <w:t xml:space="preserve">Токсичность для водных организмов: </w:t>
      </w:r>
      <w:r>
        <w:t xml:space="preserve">Дополнительная значимая информация отсутствует.</w:t>
      </w:r>
    </w:p>
    <w:p>
      <w:pPr>
        <w:spacing w:after="80"/>
      </w:pPr>
      <w:r>
        <w:rPr>
          <w:b/>
          <w:bCs/>
        </w:rPr>
        <w:t xml:space="preserve">12.2 Стойкость и разлагаемость </w:t>
      </w:r>
      <w:r>
        <w:t xml:space="preserve">Дополнительная значимая информация отсутствует.</w:t>
      </w:r>
    </w:p>
    <w:p>
      <w:pPr>
        <w:spacing w:after="80"/>
      </w:pPr>
      <w:r>
        <w:rPr>
          <w:b/>
          <w:bCs/>
        </w:rPr>
        <w:t xml:space="preserve">12.3 Биоаккумулятивный потенциал </w:t>
      </w:r>
      <w:r>
        <w:t xml:space="preserve">Дополнительная значимая информация отсутствует.</w:t>
      </w:r>
    </w:p>
    <w:p>
      <w:pPr>
        <w:spacing w:after="80"/>
      </w:pPr>
      <w:r>
        <w:rPr>
          <w:b/>
          <w:bCs/>
        </w:rPr>
        <w:t xml:space="preserve">12.4 Мобильность в почве </w:t>
      </w:r>
      <w:r>
        <w:t xml:space="preserve">Дополнительная значимая информация отсутствует.</w:t>
      </w:r>
    </w:p>
    <w:p>
      <w:pPr>
        <w:spacing w:after="60" w:before="120"/>
      </w:pPr>
      <w:r>
        <w:rPr>
          <w:b/>
          <w:bCs/>
        </w:rPr>
        <w:t xml:space="preserve">12.5 Результаты оценки СБТ и оСБсБ</w:t>
      </w:r>
    </w:p>
    <w:p>
      <w:pPr>
        <w:spacing w:after="80"/>
      </w:pPr>
      <w:r>
        <w:rPr>
          <w:b/>
          <w:bCs/>
        </w:rPr>
        <w:t xml:space="preserve">СБТ: </w:t>
      </w:r>
      <w:r>
        <w:t xml:space="preserve">Не применимо.</w:t>
      </w:r>
    </w:p>
    <w:p>
      <w:pPr>
        <w:spacing w:after="80"/>
      </w:pPr>
      <w:r>
        <w:rPr>
          <w:b/>
          <w:bCs/>
        </w:rPr>
        <w:t xml:space="preserve">оСБсБ: </w:t>
      </w:r>
      <w:r>
        <w:t xml:space="preserve">Не применимо.</w:t>
      </w:r>
    </w:p>
    <w:p>
      <w:pPr>
        <w:spacing w:after="60" w:before="120"/>
      </w:pPr>
      <w:r>
        <w:rPr>
          <w:b/>
          <w:bCs/>
        </w:rPr>
        <w:t xml:space="preserve">12.6 Свойства эндокринных разрушителей</w:t>
      </w:r>
    </w:p>
    <w:p>
      <w:pPr>
        <w:spacing w:after="80"/>
      </w:pPr>
      <w:r>
        <w:t xml:space="preserve">Продукт не содержит веществ, обладающих свойствами эндокринных разрушителей.</w:t>
      </w:r>
    </w:p>
    <w:p>
      <w:pPr>
        <w:spacing w:after="60" w:before="120"/>
      </w:pPr>
      <w:r>
        <w:rPr>
          <w:b/>
          <w:bCs/>
        </w:rPr>
        <w:t xml:space="preserve">12.7 Прочие неблагоприятные эффекты</w:t>
      </w:r>
    </w:p>
    <w:p>
      <w:pPr>
        <w:spacing w:after="60" w:before="120"/>
      </w:pPr>
      <w:r>
        <w:rPr>
          <w:b/>
          <w:bCs/>
        </w:rPr>
        <w:t xml:space="preserve">Дополнительная экологическая информация:</w:t>
      </w:r>
    </w:p>
    <w:p>
      <w:pPr>
        <w:spacing w:after="80"/>
      </w:pPr>
      <w:r>
        <w:rPr>
          <w:b/>
          <w:bCs/>
        </w:rPr>
        <w:t xml:space="preserve">Общие указания: </w:t>
      </w:r>
      <w:r>
        <w:t xml:space="preserve">Не допускать попадания продукта в грунтовые воды, водоёмы или канализацию.</w:t>
      </w:r>
    </w:p>
    <w:tbl>
      <w:tblPr>
        <w:tblW w:type="dxa" w:w="9639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639"/>
      </w:tblGrid>
      <w:tr>
        <w:tc>
          <w:tcPr>
            <w:tcW w:type="dxa" w:w="9639"/>
            <w:shd w:fill="1F3864" w:color="auto" w:val="clear"/>
            <w:tcMar>
              <w:top w:type="dxa" w:w="100"/>
              <w:left w:type="dxa" w:w="150"/>
              <w:bottom w:type="dxa" w:w="100"/>
              <w:right w:type="dxa" w:w="150"/>
            </w:tcMar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13: Рекомендации по утилизации</w:t>
            </w:r>
          </w:p>
        </w:tc>
      </w:tr>
    </w:tbl>
    <w:p>
      <w:pPr>
        <w:spacing w:after="100" w:before="100"/>
      </w:pPr>
    </w:p>
    <w:p>
      <w:pPr>
        <w:spacing w:after="60" w:before="120"/>
      </w:pPr>
      <w:r>
        <w:rPr>
          <w:b/>
          <w:bCs/>
        </w:rPr>
        <w:t xml:space="preserve">13.1 Методы обработки отходов</w:t>
      </w:r>
    </w:p>
    <w:p>
      <w:pPr>
        <w:spacing w:after="60" w:before="120"/>
      </w:pPr>
      <w:r>
        <w:rPr>
          <w:b/>
          <w:bCs/>
        </w:rPr>
        <w:t xml:space="preserve">Рекомендация</w:t>
      </w:r>
    </w:p>
    <w:p>
      <w:pPr>
        <w:spacing w:after="80"/>
      </w:pPr>
      <w:r>
        <w:t xml:space="preserve">Не допускать попадания продукта в канализацию.</w:t>
      </w:r>
    </w:p>
    <w:p>
      <w:pPr>
        <w:spacing w:after="80"/>
      </w:pPr>
      <w:r>
        <w:t xml:space="preserve">Небольшие количества впитывать связывающим материалом (песок, диатомит, кислотосвязывающие вещества, универсальные связующие материалы, опилки), дать затвердеть, затем утилизировать как строительные отходы.</w:t>
      </w:r>
    </w:p>
    <w:p>
      <w:pPr>
        <w:spacing w:after="80"/>
      </w:pPr>
      <w:r>
        <w:t xml:space="preserve">Большие количества утилизировать в соответствии с требованиями местных органов власти.</w:t>
      </w:r>
    </w:p>
    <w:p>
      <w:pPr>
        <w:spacing w:after="60" w:before="120"/>
      </w:pPr>
      <w:r>
        <w:rPr>
          <w:b/>
          <w:bCs/>
        </w:rPr>
        <w:t xml:space="preserve">Загрязнённая упаковка:</w:t>
      </w:r>
    </w:p>
    <w:p>
      <w:pPr>
        <w:spacing w:after="80"/>
      </w:pPr>
      <w:r>
        <w:rPr>
          <w:b/>
          <w:bCs/>
        </w:rPr>
        <w:t xml:space="preserve">Рекомендация: </w:t>
      </w:r>
      <w:r>
        <w:t xml:space="preserve">Полностью опорожнить загрязнённую упаковку. После тщательной и надлежащей очистки её можно сдать на переработку.</w:t>
      </w:r>
    </w:p>
    <w:p>
      <w:pPr>
        <w:spacing w:after="80"/>
      </w:pPr>
      <w:r>
        <w:rPr>
          <w:b/>
          <w:bCs/>
        </w:rPr>
        <w:t xml:space="preserve">Рекомендуемые чистящие средства: </w:t>
      </w:r>
      <w:r>
        <w:t xml:space="preserve">Вода, при необходимости вместе с чистящими средствами.</w:t>
      </w:r>
    </w:p>
    <w:tbl>
      <w:tblPr>
        <w:tblW w:type="dxa" w:w="9639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639"/>
      </w:tblGrid>
      <w:tr>
        <w:tc>
          <w:tcPr>
            <w:tcW w:type="dxa" w:w="9639"/>
            <w:shd w:fill="1F3864" w:color="auto" w:val="clear"/>
            <w:tcMar>
              <w:top w:type="dxa" w:w="100"/>
              <w:left w:type="dxa" w:w="150"/>
              <w:bottom w:type="dxa" w:w="100"/>
              <w:right w:type="dxa" w:w="150"/>
            </w:tcMar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14: Транспортная информация</w:t>
            </w:r>
          </w:p>
        </w:tc>
      </w:tr>
    </w:tbl>
    <w:p>
      <w:pPr>
        <w:spacing w:after="100" w:before="100"/>
      </w:pPr>
    </w:p>
    <w:p>
      <w:pPr>
        <w:spacing w:after="80"/>
      </w:pPr>
      <w:r>
        <w:rPr>
          <w:b/>
          <w:bCs/>
        </w:rPr>
        <w:t xml:space="preserve">14.1 Номер ООН или идентификационный номер — ADR, ADN, IMDG, IATA </w:t>
      </w:r>
      <w:r>
        <w:t xml:space="preserve">Не применимо (Void)</w:t>
      </w:r>
    </w:p>
    <w:p>
      <w:pPr>
        <w:spacing w:after="80"/>
      </w:pPr>
      <w:r>
        <w:rPr>
          <w:b/>
          <w:bCs/>
        </w:rPr>
        <w:t xml:space="preserve">14.2 Надлежащее транспортное наименование ООН — ADR, ADN, IMDG, IATA </w:t>
      </w:r>
      <w:r>
        <w:t xml:space="preserve">Не применимо (Void)</w:t>
      </w:r>
    </w:p>
    <w:p>
      <w:pPr>
        <w:spacing w:after="80"/>
      </w:pPr>
      <w:r>
        <w:rPr>
          <w:b/>
          <w:bCs/>
        </w:rPr>
        <w:t xml:space="preserve">14.3 Класс(ы) транспортной опасности — ADR, ADN, IMDG, IATA, Класс </w:t>
      </w:r>
      <w:r>
        <w:t xml:space="preserve">Не применимо (Void)</w:t>
      </w:r>
    </w:p>
    <w:p>
      <w:pPr>
        <w:spacing w:after="80"/>
      </w:pPr>
      <w:r>
        <w:rPr>
          <w:b/>
          <w:bCs/>
        </w:rPr>
        <w:t xml:space="preserve">14.4 Группа упаковки — ADR, IMDG, IATA </w:t>
      </w:r>
      <w:r>
        <w:t xml:space="preserve">Не применимо (Void)</w:t>
      </w:r>
    </w:p>
    <w:p>
      <w:pPr>
        <w:spacing w:after="80"/>
      </w:pPr>
      <w:r>
        <w:rPr>
          <w:b/>
          <w:bCs/>
        </w:rPr>
        <w:t xml:space="preserve">14.5 Опасности для окружающей среды — Загрязнитель морской среды: </w:t>
      </w:r>
      <w:r>
        <w:t xml:space="preserve">Нет</w:t>
      </w:r>
    </w:p>
    <w:p>
      <w:pPr>
        <w:spacing w:after="80"/>
      </w:pPr>
      <w:r>
        <w:rPr>
          <w:b/>
          <w:bCs/>
        </w:rPr>
        <w:t xml:space="preserve">14.6 Особые меры предосторожности для пользователя </w:t>
      </w:r>
      <w:r>
        <w:t xml:space="preserve">Не применимо.</w:t>
      </w:r>
    </w:p>
    <w:p>
      <w:pPr>
        <w:spacing w:after="80"/>
      </w:pPr>
      <w:r>
        <w:rPr>
          <w:b/>
          <w:bCs/>
        </w:rPr>
        <w:t xml:space="preserve">14.7 Морская перевозка навалом согласно документам ИМО </w:t>
      </w:r>
      <w:r>
        <w:t xml:space="preserve">Не применимо.</w:t>
      </w:r>
    </w:p>
    <w:p>
      <w:pPr>
        <w:spacing w:after="80"/>
      </w:pPr>
      <w:r>
        <w:rPr>
          <w:b/>
          <w:bCs/>
        </w:rPr>
        <w:t xml:space="preserve">Транспорт/Дополнительная информация: </w:t>
      </w:r>
      <w:r>
        <w:t xml:space="preserve">Не является опасным согласно указанным выше характеристикам.</w:t>
      </w:r>
    </w:p>
    <w:p>
      <w:pPr>
        <w:spacing w:after="80"/>
      </w:pPr>
      <w:r>
        <w:rPr>
          <w:b/>
          <w:bCs/>
        </w:rPr>
        <w:t xml:space="preserve">«Модельные правила» ООН: </w:t>
      </w:r>
      <w:r>
        <w:t xml:space="preserve">Не применимо (Void)</w:t>
      </w:r>
    </w:p>
    <w:tbl>
      <w:tblPr>
        <w:tblW w:type="dxa" w:w="9639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639"/>
      </w:tblGrid>
      <w:tr>
        <w:tc>
          <w:tcPr>
            <w:tcW w:type="dxa" w:w="9639"/>
            <w:shd w:fill="1F3864" w:color="auto" w:val="clear"/>
            <w:tcMar>
              <w:top w:type="dxa" w:w="100"/>
              <w:left w:type="dxa" w:w="150"/>
              <w:bottom w:type="dxa" w:w="100"/>
              <w:right w:type="dxa" w:w="150"/>
            </w:tcMar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15: Нормативная информация</w:t>
            </w:r>
          </w:p>
        </w:tc>
      </w:tr>
    </w:tbl>
    <w:p>
      <w:pPr>
        <w:spacing w:after="100" w:before="100"/>
      </w:pPr>
    </w:p>
    <w:p>
      <w:pPr>
        <w:spacing w:after="60" w:before="120"/>
      </w:pPr>
      <w:r>
        <w:rPr>
          <w:b/>
          <w:bCs/>
        </w:rPr>
        <w:t xml:space="preserve">15.1 Нормы безопасности, охраны здоровья и окружающей среды/законодательство, специфичное для вещества или смеси</w:t>
      </w:r>
    </w:p>
    <w:p>
      <w:pPr>
        <w:spacing w:after="60" w:before="120"/>
      </w:pPr>
      <w:r>
        <w:rPr>
          <w:b/>
          <w:bCs/>
        </w:rPr>
        <w:t xml:space="preserve">Закон о ядах (Poisons Act)</w:t>
      </w:r>
    </w:p>
    <w:p>
      <w:pPr>
        <w:spacing w:after="80"/>
      </w:pPr>
      <w:r>
        <w:rPr>
          <w:b/>
          <w:bCs/>
        </w:rPr>
        <w:t xml:space="preserve">Регулируемые прекурсоры взрывчатых веществ </w:t>
      </w:r>
      <w:r>
        <w:t xml:space="preserve">Ни один из компонентов не включён в список.</w:t>
      </w:r>
    </w:p>
    <w:p>
      <w:pPr>
        <w:spacing w:after="80"/>
      </w:pPr>
      <w:r>
        <w:rPr>
          <w:b/>
          <w:bCs/>
        </w:rPr>
        <w:t xml:space="preserve">Регулируемые яды </w:t>
      </w:r>
      <w:r>
        <w:t xml:space="preserve">Ни один из компонентов не включён в список.</w:t>
      </w:r>
    </w:p>
    <w:p>
      <w:pPr>
        <w:spacing w:after="80"/>
      </w:pPr>
      <w:r>
        <w:rPr>
          <w:b/>
          <w:bCs/>
        </w:rPr>
        <w:t xml:space="preserve">Прекурсоры взрывчатых веществ, подлежащие отчётности </w:t>
      </w:r>
      <w:r>
        <w:t xml:space="preserve">Ни один из компонентов не включён в список.</w:t>
      </w:r>
    </w:p>
    <w:p>
      <w:pPr>
        <w:spacing w:after="80"/>
      </w:pPr>
      <w:r>
        <w:rPr>
          <w:b/>
          <w:bCs/>
        </w:rPr>
        <w:t xml:space="preserve">Яды, подлежащие отчётности </w:t>
      </w:r>
      <w:r>
        <w:t xml:space="preserve">Ни один из компонентов не включён в список.</w:t>
      </w:r>
    </w:p>
    <w:p>
      <w:pPr>
        <w:spacing w:after="60" w:before="120"/>
      </w:pPr>
      <w:r>
        <w:rPr>
          <w:b/>
          <w:bCs/>
        </w:rPr>
        <w:t xml:space="preserve">Директива 2012/18/ЕС</w:t>
      </w:r>
    </w:p>
    <w:p>
      <w:pPr>
        <w:spacing w:after="80"/>
      </w:pPr>
      <w:r>
        <w:rPr>
          <w:b/>
          <w:bCs/>
        </w:rPr>
        <w:t xml:space="preserve">Поименованные опасные вещества — ПРИЛОЖЕНИЕ I </w:t>
      </w:r>
      <w:r>
        <w:t xml:space="preserve">Ни один из компонентов не включён в список.</w:t>
      </w:r>
    </w:p>
    <w:p>
      <w:pPr>
        <w:spacing w:after="80"/>
      </w:pPr>
      <w:r>
        <w:rPr>
          <w:b/>
          <w:bCs/>
        </w:rPr>
        <w:t xml:space="preserve">15.2 Оценка химической безопасности: </w:t>
      </w:r>
      <w:r>
        <w:t xml:space="preserve">Оценка химической безопасности не проводилась.</w:t>
      </w:r>
    </w:p>
    <w:tbl>
      <w:tblPr>
        <w:tblW w:type="dxa" w:w="9639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639"/>
      </w:tblGrid>
      <w:tr>
        <w:tc>
          <w:tcPr>
            <w:tcW w:type="dxa" w:w="9639"/>
            <w:shd w:fill="1F3864" w:color="auto" w:val="clear"/>
            <w:tcMar>
              <w:top w:type="dxa" w:w="100"/>
              <w:left w:type="dxa" w:w="150"/>
              <w:bottom w:type="dxa" w:w="100"/>
              <w:right w:type="dxa" w:w="150"/>
            </w:tcMar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16: Прочая информация</w:t>
            </w:r>
          </w:p>
        </w:tc>
      </w:tr>
    </w:tbl>
    <w:p>
      <w:pPr>
        <w:spacing w:after="100" w:before="100"/>
      </w:pPr>
    </w:p>
    <w:p>
      <w:pPr>
        <w:spacing w:after="80"/>
      </w:pPr>
      <w:r>
        <w:t xml:space="preserve">Настоящая информация основана на наших текущих знаниях. Однако она не является гарантией каких-либо конкретных свойств продукта и не устанавливает юридически действительных договорных отношений.</w:t>
      </w:r>
    </w:p>
    <w:p>
      <w:pPr>
        <w:spacing w:after="80"/>
      </w:pPr>
      <w:r>
        <w:t xml:space="preserve">Данный паспорт безопасности соответствует Регламенту (ЕС) № 1907/2006, Статья 31, с изменениями, внесёнными Регламентом (ЕС) 2020/878.</w:t>
      </w:r>
    </w:p>
    <w:p>
      <w:pPr>
        <w:spacing w:after="60" w:before="120"/>
      </w:pPr>
      <w:r>
        <w:rPr>
          <w:b/>
          <w:bCs/>
        </w:rPr>
        <w:t xml:space="preserve">Значимые фразы</w:t>
      </w:r>
    </w:p>
    <w:p>
      <w:pPr>
        <w:spacing w:after="80"/>
      </w:pPr>
      <w:r>
        <w:t xml:space="preserve">H301 Токсично при проглатывании.</w:t>
      </w:r>
    </w:p>
    <w:p>
      <w:pPr>
        <w:spacing w:after="80"/>
      </w:pPr>
      <w:r>
        <w:t xml:space="preserve">H302 Вредно при проглатывании.</w:t>
      </w:r>
    </w:p>
    <w:p>
      <w:pPr>
        <w:spacing w:after="80"/>
      </w:pPr>
      <w:r>
        <w:t xml:space="preserve">H310 Смертельно при контакте с кожей.</w:t>
      </w:r>
    </w:p>
    <w:p>
      <w:pPr>
        <w:spacing w:after="80"/>
      </w:pPr>
      <w:r>
        <w:t xml:space="preserve">H314 Вызывает тяжёлые ожоги кожи и повреждения глаз.</w:t>
      </w:r>
    </w:p>
    <w:p>
      <w:pPr>
        <w:spacing w:after="80"/>
      </w:pPr>
      <w:r>
        <w:t xml:space="preserve">H315 Вызывает раздражение кожи.</w:t>
      </w:r>
    </w:p>
    <w:p>
      <w:pPr>
        <w:spacing w:after="80"/>
      </w:pPr>
      <w:r>
        <w:t xml:space="preserve">H317 Может вызывать аллергическую кожную реакцию.</w:t>
      </w:r>
    </w:p>
    <w:p>
      <w:pPr>
        <w:spacing w:after="80"/>
      </w:pPr>
      <w:r>
        <w:t xml:space="preserve">H318 Вызывает серьёзные повреждения глаз.</w:t>
      </w:r>
    </w:p>
    <w:p>
      <w:pPr>
        <w:spacing w:after="80"/>
      </w:pPr>
      <w:r>
        <w:t xml:space="preserve">H319 Вызывает серьёзное раздражение глаз.</w:t>
      </w:r>
    </w:p>
    <w:p>
      <w:pPr>
        <w:spacing w:after="80"/>
      </w:pPr>
      <w:r>
        <w:t xml:space="preserve">H330 Смертельно при вдыхании.</w:t>
      </w:r>
    </w:p>
    <w:p>
      <w:pPr>
        <w:spacing w:after="80"/>
      </w:pPr>
      <w:r>
        <w:t xml:space="preserve">H400 Очень токсично для водных организмов.</w:t>
      </w:r>
    </w:p>
    <w:p>
      <w:pPr>
        <w:spacing w:after="80"/>
      </w:pPr>
      <w:r>
        <w:t xml:space="preserve">H410 Очень токсично для водных организмов с долгосрочными последствиями.</w:t>
      </w:r>
    </w:p>
    <w:p>
      <w:pPr>
        <w:spacing w:after="80"/>
      </w:pPr>
      <w:r>
        <w:t xml:space="preserve">EUH071 Вызывает коррозию дыхательных путей.</w:t>
      </w:r>
    </w:p>
    <w:p>
      <w:pPr>
        <w:spacing w:after="100" w:before="100"/>
      </w:pPr>
    </w:p>
    <w:p>
      <w:pPr>
        <w:pBdr>
          <w:left w:val="single" w:color="1F3864" w:sz="18" w:space="8"/>
        </w:pBdr>
        <w:spacing w:after="150" w:before="100"/>
        <w:ind w:left="100"/>
      </w:pPr>
      <w:r>
        <w:rPr>
          <w:i/>
          <w:iCs/>
        </w:rPr>
        <w:t xml:space="preserve">Указанные классы опасности/фразы относятся к чистому веществу-компоненту, а не к готовому продукту в том виде, в котором он продаётся и используется — сам продукт не классифицируется как опасный (см. раздел 2.1).</w:t>
      </w:r>
    </w:p>
    <w:p>
      <w:pPr>
        <w:spacing w:after="60" w:before="120"/>
      </w:pPr>
      <w:r>
        <w:rPr>
          <w:b/>
          <w:bCs/>
        </w:rPr>
        <w:t xml:space="preserve">Классификация согласно Регламенту (ЕС) № 1272/2008</w:t>
      </w:r>
    </w:p>
    <w:p>
      <w:pPr>
        <w:spacing w:after="80"/>
      </w:pPr>
      <w:r>
        <w:t xml:space="preserve">Классификация смеси в целом основана на методе расчёта с использованием данных о веществах согласно Регламенту (ЕС) № 1272/2008.</w:t>
      </w:r>
    </w:p>
    <w:p>
      <w:pPr>
        <w:spacing w:after="80"/>
      </w:pPr>
      <w:r>
        <w:rPr>
          <w:b/>
          <w:bCs/>
        </w:rPr>
        <w:t xml:space="preserve">Контакт: </w:t>
      </w:r>
      <w:r>
        <w:t xml:space="preserve">E-Mail: msds.info@pallmann.net</w:t>
      </w:r>
    </w:p>
    <w:p>
      <w:pPr>
        <w:spacing w:after="60" w:before="120"/>
      </w:pPr>
      <w:r>
        <w:rPr>
          <w:b/>
          <w:bCs/>
        </w:rPr>
        <w:t xml:space="preserve">Сокращения и аббревиатуры:</w:t>
      </w:r>
    </w:p>
    <w:p>
      <w:pPr>
        <w:spacing w:after="80"/>
      </w:pPr>
      <w:r>
        <w:t xml:space="preserve">ADR: Европейское соглашение о международной дорожной перевозке опасных грузов</w:t>
      </w:r>
    </w:p>
    <w:p>
      <w:pPr>
        <w:spacing w:after="80"/>
      </w:pPr>
      <w:r>
        <w:t xml:space="preserve">IMDG: Международный кодекс морской перевозки опасных грузов</w:t>
      </w:r>
    </w:p>
    <w:p>
      <w:pPr>
        <w:spacing w:after="80"/>
      </w:pPr>
      <w:r>
        <w:t xml:space="preserve">IATA: Международная ассоциация воздушного транспорта</w:t>
      </w:r>
    </w:p>
    <w:p>
      <w:pPr>
        <w:spacing w:after="80"/>
      </w:pPr>
      <w:r>
        <w:t xml:space="preserve">GHS: Согласованная на глобальном уровне система классификации и маркировки химических веществ</w:t>
      </w:r>
    </w:p>
    <w:p>
      <w:pPr>
        <w:spacing w:after="80"/>
      </w:pPr>
      <w:r>
        <w:t xml:space="preserve">EINECS: Европейский перечень существующих коммерческих химических веществ</w:t>
      </w:r>
    </w:p>
    <w:p>
      <w:pPr>
        <w:spacing w:after="80"/>
      </w:pPr>
      <w:r>
        <w:t xml:space="preserve">ELINCS: Европейский список зарегистрированных химических веществ</w:t>
      </w:r>
    </w:p>
    <w:p>
      <w:pPr>
        <w:spacing w:after="80"/>
      </w:pPr>
      <w:r>
        <w:t xml:space="preserve">CAS: Служба химических рефератов (подразделение Американского химического общества)</w:t>
      </w:r>
    </w:p>
    <w:p>
      <w:pPr>
        <w:spacing w:after="80"/>
      </w:pPr>
      <w:r>
        <w:t xml:space="preserve">LC50: Летальная концентрация, 50 процентов</w:t>
      </w:r>
    </w:p>
    <w:p>
      <w:pPr>
        <w:spacing w:after="80"/>
      </w:pPr>
      <w:r>
        <w:t xml:space="preserve">LD50: Летальная доза, 50 процентов</w:t>
      </w:r>
    </w:p>
    <w:p>
      <w:pPr>
        <w:spacing w:after="80"/>
      </w:pPr>
      <w:r>
        <w:t xml:space="preserve">СБТ: стойкое, биоаккумулятивное и токсичное вещество</w:t>
      </w:r>
    </w:p>
    <w:p>
      <w:pPr>
        <w:spacing w:after="80"/>
      </w:pPr>
      <w:r>
        <w:t xml:space="preserve">оСБсБ: очень стойкое и очень биоаккумулятивное вещество</w:t>
      </w:r>
    </w:p>
    <w:p>
      <w:pPr>
        <w:spacing w:after="80"/>
      </w:pPr>
      <w:r>
        <w:t xml:space="preserve">ATE: расчётные значения острой токсичности</w:t>
      </w:r>
    </w:p>
    <w:p>
      <w:pPr>
        <w:spacing w:after="80"/>
      </w:pPr>
      <w:r>
        <w:t xml:space="preserve">Acute Tox. 3: Острая токсичность — Категория 3</w:t>
      </w:r>
    </w:p>
    <w:p>
      <w:pPr>
        <w:spacing w:after="80"/>
      </w:pPr>
      <w:r>
        <w:t xml:space="preserve">Acute Tox. 4: Острая токсичность — Категория 4</w:t>
      </w:r>
    </w:p>
    <w:p>
      <w:pPr>
        <w:spacing w:after="80"/>
      </w:pPr>
      <w:r>
        <w:t xml:space="preserve">Acute Tox. 2: Острая токсичность — Категория 2</w:t>
      </w:r>
    </w:p>
    <w:p>
      <w:pPr>
        <w:spacing w:after="80"/>
      </w:pPr>
      <w:r>
        <w:t xml:space="preserve">Skin Corr. 1C: Коррозия/раздражение кожи — Категория 1C</w:t>
      </w:r>
    </w:p>
    <w:p>
      <w:pPr>
        <w:spacing w:after="80"/>
      </w:pPr>
      <w:r>
        <w:t xml:space="preserve">Skin Irrit. 2: Коррозия/раздражение кожи — Категория 2</w:t>
      </w:r>
    </w:p>
    <w:p>
      <w:pPr>
        <w:spacing w:after="80"/>
      </w:pPr>
      <w:r>
        <w:t xml:space="preserve">Eye Dam. 1: Серьёзное повреждение/раздражение глаз — Категория 1</w:t>
      </w:r>
    </w:p>
    <w:p>
      <w:pPr>
        <w:spacing w:after="80"/>
      </w:pPr>
      <w:r>
        <w:t xml:space="preserve">Skin Sens. 1A: Сенсибилизация кожи — Категория 1A</w:t>
      </w:r>
    </w:p>
    <w:p>
      <w:pPr>
        <w:spacing w:after="80"/>
      </w:pPr>
      <w:r>
        <w:t xml:space="preserve">Aquatic Acute 1: Опасность для водной среды - острая водная опасность — Категория 1</w:t>
      </w:r>
    </w:p>
    <w:p>
      <w:pPr>
        <w:spacing w:after="80"/>
      </w:pPr>
      <w:r>
        <w:t xml:space="preserve">Aquatic Chronic 1: Опасность для водной среды - долгосрочная водная опасность — Категория 1</w:t>
      </w:r>
    </w:p>
    <w:sectPr>
      <w:pgSz w:w="11907" w:h="16840" w:orient="portrait"/>
      <w:pgMar w:top="1134" w:right="1134" w:bottom="1134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2026-07-20T16:20:40.778Z</dcterms:created>
  <dcterms:modified xsi:type="dcterms:W3CDTF">2026-07-20T16:20:40.795Z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