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center"/>
      </w:pPr>
      <w:r>
        <w:rPr>
          <w:b/>
          <w:bCs/>
          <w:sz w:val="32"/>
          <w:szCs w:val="32"/>
        </w:rPr>
        <w:t xml:space="preserve">Паспорт безопасности</w:t>
      </w:r>
    </w:p>
    <w:p>
      <w:pPr>
        <w:spacing w:after="200"/>
        <w:jc w:val="center"/>
      </w:pPr>
      <w:r>
        <w:rPr>
          <w:i/>
          <w:iCs/>
          <w:sz w:val="22"/>
          <w:szCs w:val="22"/>
        </w:rPr>
        <w:t xml:space="preserve">согласно 1907/2006/EC, Статья 31</w:t>
      </w:r>
    </w:p>
    <w:p>
      <w:pPr>
        <w:pBdr>
          <w:bottom w:val="single" w:color="000000" w:sz="6" w:space="4"/>
        </w:pBdr>
        <w:spacing w:after="300"/>
        <w:jc w:val="center"/>
      </w:pPr>
      <w:r>
        <w:rPr>
          <w:b/>
          <w:bCs/>
          <w:sz w:val="26"/>
          <w:szCs w:val="26"/>
        </w:rPr>
        <w:t xml:space="preserve">PALL-X 94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1: Идентификация вещества/смеси и сведения о компании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1.1 Идентификатор продукта</w:t>
      </w:r>
    </w:p>
    <w:p>
      <w:pPr>
        <w:spacing w:after="80"/>
      </w:pPr>
      <w:r>
        <w:rPr>
          <w:b/>
          <w:bCs/>
        </w:rPr>
        <w:t xml:space="preserve">Торговое название: </w:t>
      </w:r>
      <w:r>
        <w:t xml:space="preserve">PALL-X 94</w:t>
      </w:r>
    </w:p>
    <w:p>
      <w:pPr>
        <w:spacing w:after="60" w:before="120"/>
      </w:pPr>
      <w:r>
        <w:rPr>
          <w:b/>
          <w:bCs/>
        </w:rPr>
        <w:t xml:space="preserve">1.2 Соответствующие установленные виды использования вещества или смеси и виды использования, не рекомендуемые к применению</w:t>
      </w:r>
    </w:p>
    <w:p>
      <w:pPr>
        <w:spacing w:after="80"/>
      </w:pPr>
      <w:r>
        <w:rPr>
          <w:b/>
          <w:bCs/>
        </w:rPr>
        <w:t xml:space="preserve">Сектор использования </w:t>
      </w:r>
      <w:r>
        <w:t xml:space="preserve"/>
      </w:r>
    </w:p>
    <w:p>
      <w:pPr>
        <w:spacing w:after="80"/>
      </w:pPr>
      <w:r>
        <w:t xml:space="preserve">SU19 Строительные работы</w:t>
      </w:r>
    </w:p>
    <w:p>
      <w:pPr>
        <w:spacing w:after="80"/>
      </w:pPr>
      <w:r>
        <w:t xml:space="preserve">SU22 Профессиональное использование: общественная сфера (администрирование, образование, развлечения, услуги, ремесленники)</w:t>
      </w:r>
    </w:p>
    <w:p>
      <w:pPr>
        <w:spacing w:after="80"/>
      </w:pPr>
      <w:r>
        <w:t xml:space="preserve">SU21 Потребительское использование: частные домохозяйства / широкая общественность / потребители</w:t>
      </w:r>
    </w:p>
    <w:p>
      <w:pPr>
        <w:spacing w:after="80"/>
      </w:pPr>
      <w:r>
        <w:rPr>
          <w:b/>
          <w:bCs/>
        </w:rPr>
        <w:t xml:space="preserve">Категория продукта </w:t>
      </w:r>
      <w:r>
        <w:t xml:space="preserve">PC9a Покрытия и краски, разбавители, средства для снятия краски</w:t>
      </w:r>
    </w:p>
    <w:p>
      <w:pPr>
        <w:spacing w:after="80"/>
      </w:pPr>
      <w:r>
        <w:rPr>
          <w:b/>
          <w:bCs/>
        </w:rPr>
        <w:t xml:space="preserve">Применение вещества/смеси </w:t>
      </w:r>
      <w:r>
        <w:t xml:space="preserve">Паркетный лак на водной основе, однокомпонентный, для паркетных полов</w:t>
      </w:r>
    </w:p>
    <w:p>
      <w:pPr>
        <w:spacing w:after="80"/>
      </w:pPr>
      <w:r>
        <w:rPr>
          <w:b/>
          <w:bCs/>
        </w:rPr>
        <w:t xml:space="preserve">Виды использования, не рекомендуемые к применению: </w:t>
      </w: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1.3 Данные поставщика паспорта безопасности</w:t>
      </w:r>
    </w:p>
    <w:p>
      <w:pPr>
        <w:spacing w:after="80"/>
      </w:pPr>
      <w:r>
        <w:rPr>
          <w:b/>
          <w:bCs/>
        </w:rPr>
        <w:t xml:space="preserve">Производитель/Поставщик: </w:t>
      </w:r>
      <w:r>
        <w:t xml:space="preserve"/>
      </w:r>
    </w:p>
    <w:p>
      <w:pPr>
        <w:spacing w:after="80"/>
      </w:pPr>
      <w:r>
        <w:t xml:space="preserve">PALLMANN GmbH</w:t>
      </w:r>
    </w:p>
    <w:p>
      <w:pPr>
        <w:spacing w:after="80"/>
      </w:pPr>
      <w:r>
        <w:t xml:space="preserve">Im Kreuz 6</w:t>
      </w:r>
    </w:p>
    <w:p>
      <w:pPr>
        <w:spacing w:after="80"/>
      </w:pPr>
      <w:r>
        <w:t xml:space="preserve">D-97076 Würzburg</w:t>
      </w:r>
    </w:p>
    <w:p>
      <w:pPr>
        <w:spacing w:after="80"/>
      </w:pPr>
      <w:r>
        <w:t xml:space="preserve">Тел.: +49 931-27964-0</w:t>
      </w:r>
    </w:p>
    <w:p>
      <w:pPr>
        <w:spacing w:after="80"/>
      </w:pPr>
      <w:r>
        <w:t xml:space="preserve">Факс: +49 931-27964-50</w:t>
      </w:r>
    </w:p>
    <w:p>
      <w:pPr>
        <w:spacing w:after="80"/>
      </w:pPr>
      <w:r>
        <w:rPr>
          <w:b/>
          <w:bCs/>
        </w:rPr>
        <w:t xml:space="preserve">Дополнительную информацию можно получить: </w:t>
      </w:r>
      <w:r>
        <w:t xml:space="preserve"/>
      </w:r>
    </w:p>
    <w:p>
      <w:pPr>
        <w:spacing w:after="80"/>
      </w:pPr>
      <w:r>
        <w:t xml:space="preserve">Products Development Lab</w:t>
      </w:r>
    </w:p>
    <w:p>
      <w:pPr>
        <w:spacing w:after="80"/>
      </w:pPr>
      <w:r>
        <w:t xml:space="preserve">E-Mail: msds.info@pallmann.net</w:t>
      </w:r>
    </w:p>
    <w:p>
      <w:pPr>
        <w:spacing w:after="80"/>
      </w:pPr>
      <w:r>
        <w:rPr>
          <w:b/>
          <w:bCs/>
        </w:rPr>
        <w:t xml:space="preserve">1.4 Телефон экстренной связи: </w:t>
      </w:r>
      <w:r>
        <w:t xml:space="preserve">Медицинские экстренные случаи (GIZ-Nord Poisons Center): +49 551 19240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2: Идентификация опасности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2.1 Классификация вещества или смеси</w:t>
      </w:r>
    </w:p>
    <w:p>
      <w:pPr>
        <w:spacing w:after="80"/>
      </w:pPr>
      <w:r>
        <w:rPr>
          <w:b/>
          <w:bCs/>
        </w:rPr>
        <w:t xml:space="preserve">Классификация согласно Регламенту (ЕС) № 1272/2008 </w:t>
      </w:r>
      <w:r>
        <w:t xml:space="preserve"/>
      </w:r>
    </w:p>
    <w:p>
      <w:pPr>
        <w:spacing w:after="80"/>
      </w:pPr>
      <w:r>
        <w:t xml:space="preserve">Продукт не классифицируется согласно регламенту GB CLP (Великобритания).</w:t>
      </w:r>
    </w:p>
    <w:p>
      <w:pPr>
        <w:spacing w:after="60" w:before="120"/>
      </w:pPr>
      <w:r>
        <w:rPr>
          <w:b/>
          <w:bCs/>
        </w:rPr>
        <w:t xml:space="preserve">2.2 Элементы маркировки</w:t>
      </w:r>
    </w:p>
    <w:p>
      <w:pPr>
        <w:spacing w:after="80"/>
      </w:pPr>
      <w:r>
        <w:rPr>
          <w:b/>
          <w:bCs/>
        </w:rPr>
        <w:t xml:space="preserve">Маркировка согласно Регламенту (ЕС) № 1272/2008: </w:t>
      </w:r>
      <w:r>
        <w:t xml:space="preserve">Не применяется (Void)</w:t>
      </w:r>
    </w:p>
    <w:p>
      <w:pPr>
        <w:spacing w:after="80"/>
      </w:pPr>
      <w:r>
        <w:rPr>
          <w:b/>
          <w:bCs/>
        </w:rPr>
        <w:t xml:space="preserve">Пиктограммы опасности: </w:t>
      </w:r>
      <w:r>
        <w:t xml:space="preserve">Не применяется (Void)</w:t>
      </w:r>
    </w:p>
    <w:p>
      <w:pPr>
        <w:spacing w:after="80"/>
      </w:pPr>
      <w:r>
        <w:rPr>
          <w:b/>
          <w:bCs/>
        </w:rPr>
        <w:t xml:space="preserve">Сигнальное слово: </w:t>
      </w:r>
      <w:r>
        <w:t xml:space="preserve">Не применяется (Void)</w:t>
      </w:r>
    </w:p>
    <w:p>
      <w:pPr>
        <w:spacing w:after="80"/>
      </w:pPr>
      <w:r>
        <w:rPr>
          <w:b/>
          <w:bCs/>
        </w:rPr>
        <w:t xml:space="preserve">Указания на опасность: </w:t>
      </w:r>
      <w:r>
        <w:t xml:space="preserve">Не применяется (Void)</w:t>
      </w:r>
    </w:p>
    <w:p>
      <w:pPr>
        <w:spacing w:after="60" w:before="120"/>
      </w:pPr>
      <w:r>
        <w:rPr>
          <w:b/>
          <w:bCs/>
        </w:rPr>
        <w:t xml:space="preserve">Дополнительная информация:</w:t>
      </w:r>
    </w:p>
    <w:p>
      <w:pPr>
        <w:spacing w:after="80"/>
      </w:pPr>
      <w:r>
        <w:t xml:space="preserve">EUH208 Содержит 1,2-бензизотиазол-3(2H)-он, смесь: 5-хлор-2-метил-4-изотиазолин-3-он и 2-метил-2H-изотиазол-3-он (3:1). Может вызывать аллергическую реакцию.</w:t>
      </w:r>
    </w:p>
    <w:p>
      <w:pPr>
        <w:spacing w:after="60" w:before="120"/>
      </w:pPr>
      <w:r>
        <w:rPr>
          <w:b/>
          <w:bCs/>
        </w:rPr>
        <w:t xml:space="preserve">2.3 Прочие опасности</w:t>
      </w:r>
    </w:p>
    <w:p>
      <w:pPr>
        <w:spacing w:after="80"/>
      </w:pPr>
      <w:r>
        <w:rPr>
          <w:b/>
          <w:bCs/>
        </w:rPr>
        <w:t xml:space="preserve">СБТ: </w:t>
      </w:r>
      <w:r>
        <w:t xml:space="preserve">Данное вещество/смесь не содержит компонентов, которые могут считаться стойкими, биоаккумулятивными и токсичными (СБТ).</w:t>
      </w:r>
    </w:p>
    <w:p>
      <w:pPr>
        <w:spacing w:after="80"/>
      </w:pPr>
      <w:r>
        <w:rPr>
          <w:b/>
          <w:bCs/>
        </w:rPr>
        <w:t xml:space="preserve">оСБсБ: </w:t>
      </w:r>
      <w:r>
        <w:t xml:space="preserve">Данное вещество/смесь не содержит компонентов, которые могут считаться очень стойкими и очень биоаккумулятивными (оСБсБ), в концентрациях 0,1% и более.</w:t>
      </w:r>
    </w:p>
    <w:p>
      <w:pPr>
        <w:spacing w:after="80"/>
      </w:pPr>
      <w:r>
        <w:rPr>
          <w:b/>
          <w:bCs/>
        </w:rPr>
        <w:t xml:space="preserve">Определение свойств эндокринных разрушителей </w:t>
      </w:r>
      <w:r>
        <w:t xml:space="preserve"/>
      </w:r>
    </w:p>
    <w:p>
      <w:pPr>
        <w:spacing w:after="80"/>
      </w:pPr>
      <w:r>
        <w:t xml:space="preserve">Данное вещество/смесь не содержит компонентов, являющихся эндокринными разрушителями согласно Статье 57(f) UK REACH, Делегированному регламенту Комиссии (ЕС) 2017/2100 или Делегированному регламенту Комиссии (ЕС) 2018/605, в количествах 0,1% или более.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3: Состав / информация о компонентах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3.2 Смеси</w:t>
      </w:r>
    </w:p>
    <w:p>
      <w:pPr>
        <w:spacing w:after="80"/>
      </w:pPr>
      <w:r>
        <w:rPr>
          <w:b/>
          <w:bCs/>
        </w:rPr>
        <w:t xml:space="preserve">Описание: </w:t>
      </w:r>
      <w:r>
        <w:t xml:space="preserve">Паркетный лак на водной основе, однокомпонентный, для паркетных полов</w:t>
      </w:r>
    </w:p>
    <w:p>
      <w:pPr>
        <w:spacing w:after="60" w:before="60"/>
      </w:pPr>
    </w:p>
    <w:p>
      <w:pPr>
        <w:spacing w:after="60" w:before="120"/>
      </w:pPr>
      <w:r>
        <w:rPr>
          <w:b/>
          <w:bCs/>
        </w:rPr>
        <w:t xml:space="preserve">Опасные компоненты: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200"/>
        <w:gridCol w:w="2039"/>
      </w:tblGrid>
      <w:tr>
        <w:trPr>
          <w:tblHeader/>
        </w:trPr>
        <w:tc>
          <w:tcPr>
            <w:tcW w:type="dxa" w:w="24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</w:rPr>
              <w:t xml:space="preserve">Идентификатор</w:t>
            </w:r>
          </w:p>
        </w:tc>
        <w:tc>
          <w:tcPr>
            <w:tcW w:type="dxa" w:w="52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</w:rPr>
              <w:t xml:space="preserve">Наименование / классификация</w:t>
            </w:r>
          </w:p>
        </w:tc>
        <w:tc>
          <w:tcPr>
            <w:tcW w:type="dxa" w:w="203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shd w:fill="D9E2F3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/>
                <w:bCs/>
              </w:rPr>
              <w:t xml:space="preserve">Концентрация</w:t>
            </w:r>
          </w:p>
        </w:tc>
      </w:tr>
      <w:tr>
        <w:tc>
          <w:tcPr>
            <w:tcW w:type="dxa" w:w="24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CAS: 34590-94-8
EINECS: 252-104-2
Reg.nr.: 01-2119450011-60</w:t>
            </w:r>
          </w:p>
        </w:tc>
        <w:tc>
          <w:tcPr>
            <w:tcW w:type="dxa" w:w="52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Дипропиленгликоль монометиловый эфир — вещество с установленным пределом воздействия на рабочем месте (Community workplace exposure limit)</w:t>
            </w:r>
          </w:p>
        </w:tc>
        <w:tc>
          <w:tcPr>
            <w:tcW w:type="dxa" w:w="203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1-&lt;3%</w:t>
            </w:r>
          </w:p>
        </w:tc>
      </w:tr>
      <w:tr>
        <w:tc>
          <w:tcPr>
            <w:tcW w:type="dxa" w:w="24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CAS: 5131-66-8
EINECS: 225-878-4
Reg.nr.: 01-2119475527-28</w:t>
            </w:r>
          </w:p>
        </w:tc>
        <w:tc>
          <w:tcPr>
            <w:tcW w:type="dxa" w:w="52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3-бутоксипропан-2-ол
Skin Irrit. 2, H315; Eye Irrit. 2, H319</w:t>
            </w:r>
          </w:p>
        </w:tc>
        <w:tc>
          <w:tcPr>
            <w:tcW w:type="dxa" w:w="203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1-&lt;3%</w:t>
            </w:r>
          </w:p>
        </w:tc>
      </w:tr>
      <w:tr>
        <w:tc>
          <w:tcPr>
            <w:tcW w:type="dxa" w:w="24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CAS: 2634-33-5
EINECS: 220-120-9</w:t>
            </w:r>
          </w:p>
        </w:tc>
        <w:tc>
          <w:tcPr>
            <w:tcW w:type="dxa" w:w="52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1,2-бензизотиазол-3(2H)-он
Acute Tox. 2, H330; Eye Dam. 1, H318; Aquatic Acute 1, H400; Aquatic Chronic 1, H410; Acute Tox. 4, H302; Skin Irrit. 2, H315; Skin Sens. 1A, H317
ATE: LD50 перорально: 450 мг/кг; LC50/4ч ингаляционно: 0,21 мг/л
Специфический предел концентрации: Skin Sens. 1A; H317: C ≥ 0,036 %</w:t>
            </w:r>
          </w:p>
        </w:tc>
        <w:tc>
          <w:tcPr>
            <w:tcW w:type="dxa" w:w="203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&lt;0,036%</w:t>
            </w:r>
          </w:p>
        </w:tc>
      </w:tr>
      <w:tr>
        <w:tc>
          <w:tcPr>
            <w:tcW w:type="dxa" w:w="24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CAS: 55965-84-9</w:t>
            </w:r>
          </w:p>
        </w:tc>
        <w:tc>
          <w:tcPr>
            <w:tcW w:type="dxa" w:w="520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Смесь: 5-хлор-2-метил-4-изотиазолин-3-он и 2-метил-2H-изотиазол-3-он (3:1)
Acute Tox. 3, H301; Acute Tox. 2, H310; Acute Tox. 2, H330; Skin Corr. 1C, H314; Eye Dam. 1, H318; Aquatic Acute 1, H400 (M=100); Aquatic Chronic 1, H410 (M=100); Skin Sens. 1A, H317, EUH071
Специфические пределы концентрации: Skin Corr. 1C; H314: C ≥ 0,6 %; Skin Irrit. 2; H315: 0,06 % ≤ C &lt; 0,6 %; Eye Dam. 1; H318: C ≥ 0,6 %; Eye Irrit. 2; H319: 0,06 % ≤ C &lt; 0,6 %; Skin Sens. 1A; H317: C ≥ 0,0015 %</w:t>
            </w:r>
          </w:p>
        </w:tc>
        <w:tc>
          <w:tcPr>
            <w:tcW w:type="dxa" w:w="203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&lt;0,0015%</w:t>
            </w:r>
          </w:p>
        </w:tc>
      </w:tr>
    </w:tbl>
    <w:p>
      <w:pPr>
        <w:spacing w:after="100" w:before="100"/>
      </w:pPr>
    </w:p>
    <w:p>
      <w:pPr>
        <w:pBdr>
          <w:left w:val="single" w:color="1F3864" w:sz="18" w:space="8"/>
        </w:pBdr>
        <w:spacing w:after="150" w:before="100"/>
        <w:ind w:left="100"/>
      </w:pPr>
      <w:r>
        <w:rPr>
          <w:i/>
          <w:iCs/>
        </w:rPr>
        <w:t xml:space="preserve">Указанные классы опасности/фразы относятся к чистому веществу-компоненту, а не к готовому продукту в том виде, в котором он продаётся и используется — сам продукт не классифицируется как опасный (см. раздел 2.1).</w:t>
      </w:r>
    </w:p>
    <w:p>
      <w:pPr>
        <w:spacing w:after="80"/>
      </w:pPr>
      <w:r>
        <w:rPr>
          <w:b/>
          <w:bCs/>
        </w:rPr>
        <w:t xml:space="preserve">Дополнительная информация: </w:t>
      </w:r>
      <w:r>
        <w:t xml:space="preserve">Формулировки перечисленных указаний на опасность приведены в разделе 16.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4: Меры первой помощи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4.1 Описание мер первой помощи</w:t>
      </w:r>
    </w:p>
    <w:p>
      <w:pPr>
        <w:spacing w:after="80"/>
      </w:pPr>
      <w:r>
        <w:rPr>
          <w:b/>
          <w:bCs/>
        </w:rPr>
        <w:t xml:space="preserve">Общая информация: </w:t>
      </w:r>
      <w:r>
        <w:t xml:space="preserve">Особые меры не требуются.</w:t>
      </w:r>
    </w:p>
    <w:p>
      <w:pPr>
        <w:spacing w:after="80"/>
      </w:pPr>
      <w:r>
        <w:rPr>
          <w:b/>
          <w:bCs/>
        </w:rPr>
        <w:t xml:space="preserve">При вдыхании: </w:t>
      </w:r>
      <w:r>
        <w:t xml:space="preserve">Обеспечить приток свежего воздуха.</w:t>
      </w:r>
    </w:p>
    <w:p>
      <w:pPr>
        <w:spacing w:after="80"/>
      </w:pPr>
      <w:r>
        <w:rPr>
          <w:b/>
          <w:bCs/>
        </w:rPr>
        <w:t xml:space="preserve">При контакте с кожей: </w:t>
      </w:r>
      <w:r>
        <w:t xml:space="preserve">Немедленно промыть водой с мылом и тщательно ополоснуть.</w:t>
      </w:r>
    </w:p>
    <w:p>
      <w:pPr>
        <w:spacing w:after="80"/>
      </w:pPr>
      <w:r>
        <w:rPr>
          <w:b/>
          <w:bCs/>
        </w:rPr>
        <w:t xml:space="preserve">При контакте с глазами: </w:t>
      </w:r>
      <w:r>
        <w:t xml:space="preserve">Промывать открытый глаз в течение нескольких минут под проточной водой. При сохранении симптомов обратиться к врачу.</w:t>
      </w:r>
    </w:p>
    <w:p>
      <w:pPr>
        <w:spacing w:after="80"/>
      </w:pPr>
      <w:r>
        <w:rPr>
          <w:b/>
          <w:bCs/>
        </w:rPr>
        <w:t xml:space="preserve">При проглатывании: </w:t>
      </w:r>
      <w:r>
        <w:t xml:space="preserve">Не вызывать рвоту; немедленно обратиться за медицинской помощью.</w:t>
      </w:r>
    </w:p>
    <w:p>
      <w:pPr>
        <w:spacing w:after="80"/>
      </w:pPr>
      <w:r>
        <w:rPr>
          <w:b/>
          <w:bCs/>
        </w:rPr>
        <w:t xml:space="preserve">4.2 Наиболее важные симптомы и эффекты, острые и отсроченные </w:t>
      </w:r>
      <w:r>
        <w:t xml:space="preserve">Дополнительная значимая информация отсутствует.</w:t>
      </w:r>
    </w:p>
    <w:p>
      <w:pPr>
        <w:spacing w:after="80"/>
      </w:pPr>
      <w:r>
        <w:rPr>
          <w:b/>
          <w:bCs/>
        </w:rPr>
        <w:t xml:space="preserve">4.3 Указание на необходимость немедленной медицинской помощи и специального лечения </w:t>
      </w:r>
      <w:r>
        <w:t xml:space="preserve">Дополнительная значимая информация отсутствует.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5: Меры пожаротушения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5.1 Средства пожаротушения</w:t>
      </w:r>
    </w:p>
    <w:p>
      <w:pPr>
        <w:spacing w:after="80"/>
      </w:pPr>
      <w:r>
        <w:rPr>
          <w:b/>
          <w:bCs/>
        </w:rPr>
        <w:t xml:space="preserve">Подходящие средства пожаротушения: </w:t>
      </w:r>
      <w:r>
        <w:t xml:space="preserve">CO₂, порошок или водяной распылитель. При крупных пожарах использовать водяной распылитель или пену, стойкую к спирту.</w:t>
      </w:r>
    </w:p>
    <w:p>
      <w:pPr>
        <w:spacing w:after="80"/>
      </w:pPr>
      <w:r>
        <w:rPr>
          <w:b/>
          <w:bCs/>
        </w:rPr>
        <w:t xml:space="preserve">Непригодные по соображениям безопасности средства пожаротушения: </w:t>
      </w:r>
      <w:r>
        <w:t xml:space="preserve">Вода в сплошной струе</w:t>
      </w:r>
    </w:p>
    <w:p>
      <w:pPr>
        <w:spacing w:after="80"/>
      </w:pPr>
      <w:r>
        <w:rPr>
          <w:b/>
          <w:bCs/>
        </w:rPr>
        <w:t xml:space="preserve">5.2 Особые опасности, возникающие в связи с веществом или смесью </w:t>
      </w: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5.3 Рекомендации для пожарных</w:t>
      </w:r>
    </w:p>
    <w:p>
      <w:pPr>
        <w:spacing w:after="80"/>
      </w:pPr>
      <w:r>
        <w:rPr>
          <w:b/>
          <w:bCs/>
        </w:rPr>
        <w:t xml:space="preserve">Средства защиты: </w:t>
      </w:r>
      <w:r>
        <w:t xml:space="preserve">Особые меры не требуются.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6: Меры при случайном высвобождении</w:t>
            </w:r>
          </w:p>
        </w:tc>
      </w:tr>
    </w:tbl>
    <w:p>
      <w:pPr>
        <w:spacing w:after="100" w:before="100"/>
      </w:pPr>
    </w:p>
    <w:p>
      <w:pPr>
        <w:spacing w:after="80"/>
      </w:pPr>
      <w:r>
        <w:rPr>
          <w:b/>
          <w:bCs/>
        </w:rPr>
        <w:t xml:space="preserve">6.1 Меры предосторожности для персонала, средства индивидуальной защиты и порядок действий в чрезвычайной ситуации </w:t>
      </w:r>
      <w:r>
        <w:t xml:space="preserve">Не требуется</w:t>
      </w:r>
    </w:p>
    <w:p>
      <w:pPr>
        <w:spacing w:after="80"/>
      </w:pPr>
      <w:r>
        <w:rPr>
          <w:b/>
          <w:bCs/>
        </w:rPr>
        <w:t xml:space="preserve">6.2 Меры предосторожности в отношении окружающей среды: </w:t>
      </w:r>
      <w:r>
        <w:t xml:space="preserve">Не допускать попадания в канализацию/поверхностные или грунтовые воды.</w:t>
      </w:r>
    </w:p>
    <w:p>
      <w:pPr>
        <w:spacing w:after="60" w:before="120"/>
      </w:pPr>
      <w:r>
        <w:rPr>
          <w:b/>
          <w:bCs/>
        </w:rPr>
        <w:t xml:space="preserve">6.3 Методы и материалы для локализации и очистки</w:t>
      </w:r>
    </w:p>
    <w:p>
      <w:pPr>
        <w:spacing w:after="80"/>
      </w:pPr>
      <w:r>
        <w:t xml:space="preserve">Впитывать жидкость связывающим материалом (песок, диатомит, кислотосвязывающие вещества, универсальные связующие материалы, опилки).</w:t>
      </w:r>
    </w:p>
    <w:p>
      <w:pPr>
        <w:spacing w:after="60" w:before="120"/>
      </w:pPr>
      <w:r>
        <w:rPr>
          <w:b/>
          <w:bCs/>
        </w:rPr>
        <w:t xml:space="preserve">6.4 Ссылка на другие разделы</w:t>
      </w:r>
    </w:p>
    <w:p>
      <w:pPr>
        <w:spacing w:after="80"/>
      </w:pPr>
      <w:r>
        <w:t xml:space="preserve">См. раздел 7 для информации по безопасному обращению.</w:t>
      </w:r>
    </w:p>
    <w:p>
      <w:pPr>
        <w:spacing w:after="80"/>
      </w:pPr>
      <w:r>
        <w:t xml:space="preserve">См. раздел 8 для информации о средствах индивидуальной защиты.</w:t>
      </w:r>
    </w:p>
    <w:p>
      <w:pPr>
        <w:spacing w:after="80"/>
      </w:pPr>
      <w:r>
        <w:t xml:space="preserve">См. раздел 13 для информации по утилизации.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7: Обращение и хранение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7.1 Меры предосторожности для безопасного обращения</w:t>
      </w:r>
    </w:p>
    <w:p>
      <w:pPr>
        <w:spacing w:after="80"/>
      </w:pPr>
      <w:r>
        <w:t xml:space="preserve">Избегать контакта с глазами и кожей.</w:t>
      </w:r>
    </w:p>
    <w:p>
      <w:pPr>
        <w:spacing w:after="80"/>
      </w:pPr>
      <w:r>
        <w:t xml:space="preserve">Мыть руки перед перерывами и по окончании работы.</w:t>
      </w:r>
    </w:p>
    <w:p>
      <w:pPr>
        <w:spacing w:after="80"/>
      </w:pPr>
      <w:r>
        <w:rPr>
          <w:b/>
          <w:bCs/>
        </w:rPr>
        <w:t xml:space="preserve">Информация о пожаро- и взрывозащите: </w:t>
      </w:r>
      <w:r>
        <w:t xml:space="preserve">Особые меры не требуются.</w:t>
      </w:r>
    </w:p>
    <w:p>
      <w:pPr>
        <w:spacing w:after="60" w:before="120"/>
      </w:pPr>
      <w:r>
        <w:rPr>
          <w:b/>
          <w:bCs/>
        </w:rPr>
        <w:t xml:space="preserve">7.2 Условия для безопасного хранения, включая несовместимости</w:t>
      </w:r>
    </w:p>
    <w:p>
      <w:pPr>
        <w:spacing w:after="60" w:before="120"/>
      </w:pPr>
      <w:r>
        <w:rPr>
          <w:b/>
          <w:bCs/>
        </w:rPr>
        <w:t xml:space="preserve">Хранение:</w:t>
      </w:r>
    </w:p>
    <w:p>
      <w:pPr>
        <w:spacing w:after="80"/>
      </w:pPr>
      <w:r>
        <w:rPr>
          <w:b/>
          <w:bCs/>
        </w:rPr>
        <w:t xml:space="preserve">Требования к складским помещениям и ёмкостям: </w:t>
      </w:r>
      <w:r>
        <w:t xml:space="preserve">Особых требований нет.</w:t>
      </w:r>
    </w:p>
    <w:p>
      <w:pPr>
        <w:spacing w:after="80"/>
      </w:pPr>
      <w:r>
        <w:rPr>
          <w:b/>
          <w:bCs/>
        </w:rPr>
        <w:t xml:space="preserve">Информация о хранении в одном общем складском помещении: </w:t>
      </w:r>
      <w:r>
        <w:t xml:space="preserve">Не требуется</w:t>
      </w:r>
    </w:p>
    <w:p>
      <w:pPr>
        <w:spacing w:after="60" w:before="120"/>
      </w:pPr>
      <w:r>
        <w:rPr>
          <w:b/>
          <w:bCs/>
        </w:rPr>
        <w:t xml:space="preserve">Дополнительная информация об условиях хранения:</w:t>
      </w:r>
    </w:p>
    <w:p>
      <w:pPr>
        <w:spacing w:after="80"/>
      </w:pPr>
      <w:r>
        <w:t xml:space="preserve">Держать ёмкость плотно закрытой.</w:t>
      </w:r>
    </w:p>
    <w:p>
      <w:pPr>
        <w:spacing w:after="80"/>
      </w:pPr>
      <w:r>
        <w:t xml:space="preserve">Аккуратно закрывать открытые ёмкости и хранить в вертикальном положении для предотвращения утечки.</w:t>
      </w:r>
    </w:p>
    <w:p>
      <w:pPr>
        <w:spacing w:after="80"/>
      </w:pPr>
      <w:r>
        <w:rPr>
          <w:b/>
          <w:bCs/>
        </w:rPr>
        <w:t xml:space="preserve">7.3 Особые виды конечного использования </w:t>
      </w:r>
      <w:r>
        <w:t xml:space="preserve">Дополнительная значимая информация отсутствует.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8: Контроль воздействия / средства индивидуальной защиты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8.1 Параметры контроля</w:t>
      </w:r>
    </w:p>
    <w:p>
      <w:pPr>
        <w:spacing w:after="60" w:before="120"/>
      </w:pPr>
      <w:r>
        <w:rPr>
          <w:b/>
          <w:bCs/>
        </w:rPr>
        <w:t xml:space="preserve">Компоненты с предельными значениями, подлежащие контролю на рабочем месте: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0"/>
        <w:gridCol w:w="4819"/>
      </w:tblGrid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CAS: 34590-94-8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Дипропиленгликоль монометиловый эфир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WEL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Долгосрочное значение: 308 мг/м³, 50 ppm
Sk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8.2 Контроль воздействия</w:t>
      </w:r>
    </w:p>
    <w:p>
      <w:pPr>
        <w:spacing w:after="80"/>
      </w:pPr>
      <w:r>
        <w:rPr>
          <w:b/>
          <w:bCs/>
        </w:rPr>
        <w:t xml:space="preserve">Соответствующие технические меры контроля </w:t>
      </w:r>
      <w:r>
        <w:t xml:space="preserve">Дополнительных данных нет; см. раздел 7.</w:t>
      </w:r>
    </w:p>
    <w:p>
      <w:pPr>
        <w:spacing w:after="60" w:before="120"/>
      </w:pPr>
      <w:r>
        <w:rPr>
          <w:b/>
          <w:bCs/>
        </w:rPr>
        <w:t xml:space="preserve">Индивидуальные меры защиты, в т.ч. средства индивидуальной защиты</w:t>
      </w:r>
    </w:p>
    <w:p>
      <w:pPr>
        <w:spacing w:after="60" w:before="120"/>
      </w:pPr>
      <w:r>
        <w:rPr>
          <w:b/>
          <w:bCs/>
        </w:rPr>
        <w:t xml:space="preserve">Общие защитные и гигиенические меры:</w:t>
      </w:r>
    </w:p>
    <w:p>
      <w:pPr>
        <w:spacing w:after="80"/>
      </w:pPr>
      <w:r>
        <w:t xml:space="preserve">Избегать контакта с глазами и кожей.</w:t>
      </w:r>
    </w:p>
    <w:p>
      <w:pPr>
        <w:spacing w:after="80"/>
      </w:pPr>
      <w:r>
        <w:t xml:space="preserve">Мыть руки перед перерывами и по окончании работы.</w:t>
      </w:r>
    </w:p>
    <w:p>
      <w:pPr>
        <w:spacing w:after="80"/>
      </w:pPr>
      <w:r>
        <w:rPr>
          <w:b/>
          <w:bCs/>
        </w:rPr>
        <w:t xml:space="preserve">Защита органов дыхания: </w:t>
      </w:r>
      <w:r>
        <w:t xml:space="preserve">Не требуется при хорошо проветриваемом помещении.</w:t>
      </w:r>
    </w:p>
    <w:p>
      <w:pPr>
        <w:spacing w:after="80"/>
      </w:pPr>
      <w:r>
        <w:rPr>
          <w:b/>
          <w:bCs/>
        </w:rPr>
        <w:t xml:space="preserve">Защита рук: </w:t>
      </w:r>
      <w:r>
        <w:t xml:space="preserve">Не обязательна. При чувствительной коже носить лёгкие защитные перчатки.</w:t>
      </w:r>
    </w:p>
    <w:p>
      <w:pPr>
        <w:spacing w:after="80"/>
      </w:pPr>
      <w:r>
        <w:rPr>
          <w:b/>
          <w:bCs/>
        </w:rPr>
        <w:t xml:space="preserve">Материал перчаток: </w:t>
      </w:r>
      <w:r>
        <w:t xml:space="preserve">Перчатки из ПВХ или ПЭ (EN 374)</w:t>
      </w:r>
    </w:p>
    <w:p>
      <w:pPr>
        <w:spacing w:after="80"/>
      </w:pPr>
      <w:r>
        <w:rPr>
          <w:b/>
          <w:bCs/>
        </w:rPr>
        <w:t xml:space="preserve">Время проникновения материала перчаток: </w:t>
      </w:r>
      <w:r>
        <w:t xml:space="preserve">Не применимо.</w:t>
      </w:r>
    </w:p>
    <w:p>
      <w:pPr>
        <w:spacing w:after="80"/>
      </w:pPr>
      <w:r>
        <w:rPr>
          <w:b/>
          <w:bCs/>
        </w:rPr>
        <w:t xml:space="preserve">Защита глаз/лица: </w:t>
      </w:r>
      <w:r>
        <w:t xml:space="preserve">Защитные очки (EN 166)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9: Физические и химические свойства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9.1 Информация об основных физических и химических свойствах</w:t>
      </w:r>
    </w:p>
    <w:p>
      <w:pPr>
        <w:spacing w:after="60" w:before="120"/>
      </w:pPr>
      <w:r>
        <w:rPr>
          <w:b/>
          <w:bCs/>
        </w:rPr>
        <w:t xml:space="preserve">Общая информация</w:t>
      </w:r>
    </w:p>
    <w:tbl>
      <w:tblPr>
        <w:tblW w:type="dxa" w:w="9639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20"/>
        <w:gridCol w:w="4819"/>
      </w:tblGrid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Физическое состояние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Жидкость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Цвет: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Белесый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Запах: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Слабый, характерный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Порог восприятия запаха: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определён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Точка плавления/замерзания: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определена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Точка кипения или начальная точка кипения и диапазон кипения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определена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Воспламеняемость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применимо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Нижний предел взрываемости: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определён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Верхний предел взрываемости: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определён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Температура вспышки: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&gt;100 °C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Температура самовоспламенения: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&gt;200 °C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Температура разложения: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определена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pH при 20 °C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7,4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Кинематическая вязкость при 20 °C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22 с (DIN 53211/4)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Динамическая вязкость: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определена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Растворимость в воде: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Полностью смешивается.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Коэффициент распределения н-октанол/вода (log)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определён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Давление паров: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определено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Плотность при 20 °C: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1,04 г/см³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Относительная плотность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определена</w:t>
            </w:r>
          </w:p>
        </w:tc>
      </w:tr>
      <w:tr>
        <w:tc>
          <w:tcPr>
            <w:tcW w:type="dxa" w:w="4820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Плотность паров</w:t>
            </w:r>
          </w:p>
        </w:tc>
        <w:tc>
          <w:tcPr>
            <w:tcW w:type="dxa" w:w="4819"/>
            <w:tcBorders>
              <w:top w:val="single" w:color="8EA9DB" w:sz="4"/>
              <w:left w:val="single" w:color="8EA9DB" w:sz="4"/>
              <w:bottom w:val="single" w:color="8EA9DB" w:sz="4"/>
              <w:right w:val="single" w:color="8EA9D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b w:val="false"/>
                <w:bCs w:val="false"/>
              </w:rPr>
              <w:t xml:space="preserve">Не определена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9.2 Прочая информация</w:t>
      </w:r>
    </w:p>
    <w:p>
      <w:pPr>
        <w:spacing w:after="80"/>
      </w:pPr>
      <w:r>
        <w:rPr>
          <w:b/>
          <w:bCs/>
        </w:rPr>
        <w:t xml:space="preserve">Форма: </w:t>
      </w:r>
      <w:r>
        <w:t xml:space="preserve">Жидкая</w:t>
      </w:r>
    </w:p>
    <w:p>
      <w:pPr>
        <w:spacing w:after="80"/>
      </w:pPr>
      <w:r>
        <w:rPr>
          <w:b/>
          <w:bCs/>
        </w:rPr>
        <w:t xml:space="preserve">Температура воспламенения: </w:t>
      </w:r>
      <w:r>
        <w:t xml:space="preserve">Продукт не является самовоспламеняющимся.</w:t>
      </w:r>
    </w:p>
    <w:p>
      <w:pPr>
        <w:spacing w:after="80"/>
      </w:pPr>
      <w:r>
        <w:rPr>
          <w:b/>
          <w:bCs/>
        </w:rPr>
        <w:t xml:space="preserve">Взрывоопасные свойства: </w:t>
      </w:r>
      <w:r>
        <w:t xml:space="preserve">Продукт не представляет взрывоопасности.</w:t>
      </w:r>
    </w:p>
    <w:p>
      <w:pPr>
        <w:spacing w:after="80"/>
      </w:pPr>
      <w:r>
        <w:rPr>
          <w:b/>
          <w:bCs/>
        </w:rPr>
        <w:t xml:space="preserve">Скорость испарения </w:t>
      </w:r>
      <w:r>
        <w:t xml:space="preserve">Не определена</w:t>
      </w:r>
    </w:p>
    <w:p>
      <w:pPr>
        <w:spacing w:after="60" w:before="120"/>
      </w:pPr>
      <w:r>
        <w:rPr>
          <w:b/>
          <w:bCs/>
        </w:rPr>
        <w:t xml:space="preserve">Информация в отношении классов физической опасности</w:t>
      </w:r>
    </w:p>
    <w:p>
      <w:pPr>
        <w:spacing w:after="80"/>
      </w:pPr>
      <w:r>
        <w:rPr>
          <w:b/>
          <w:bCs/>
        </w:rPr>
        <w:t xml:space="preserve">Взрывчатые вещества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Легковоспламеняющиеся газы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Аэрозоли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Окисляющие газы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Газы под давлением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Легковоспламеняющиеся жидкости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Легковоспламеняющиеся твёрдые вещества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Саморазлагающиеся вещества и смеси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Пирофорные жидкости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Пирофорные твёрдые вещества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Самонагревающиеся вещества и смеси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Вещества и смеси, выделяющие легковоспламеняющиеся газы при контакте с водой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Окисляющие жидкости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Окисляющие твёрдые вещества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Органические пероксиды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Коррозионность в отношении металлов </w:t>
      </w:r>
      <w:r>
        <w:t xml:space="preserve">Не применимо (Void)</w:t>
      </w:r>
    </w:p>
    <w:p>
      <w:pPr>
        <w:spacing w:after="80"/>
      </w:pPr>
      <w:r>
        <w:rPr>
          <w:b/>
          <w:bCs/>
        </w:rPr>
        <w:t xml:space="preserve">Десенсибилизированные взрывчатые вещества </w:t>
      </w:r>
      <w:r>
        <w:t xml:space="preserve">Не применимо (Void)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10: Стабильность и реакционная способность</w:t>
            </w:r>
          </w:p>
        </w:tc>
      </w:tr>
    </w:tbl>
    <w:p>
      <w:pPr>
        <w:spacing w:after="100" w:before="100"/>
      </w:pPr>
    </w:p>
    <w:p>
      <w:pPr>
        <w:spacing w:after="80"/>
      </w:pPr>
      <w:r>
        <w:rPr>
          <w:b/>
          <w:bCs/>
        </w:rPr>
        <w:t xml:space="preserve">10.1 Реакционная способность </w:t>
      </w:r>
      <w:r>
        <w:t xml:space="preserve">Дополнительная значимая информация отсутствует.</w:t>
      </w:r>
    </w:p>
    <w:p>
      <w:pPr>
        <w:spacing w:after="80"/>
      </w:pPr>
      <w:r>
        <w:rPr>
          <w:b/>
          <w:bCs/>
        </w:rPr>
        <w:t xml:space="preserve">10.2 Химическая стабильность </w:t>
      </w:r>
      <w:r>
        <w:t xml:space="preserve">Стабилен при нормальных условиях.</w:t>
      </w:r>
    </w:p>
    <w:p>
      <w:pPr>
        <w:spacing w:after="80"/>
      </w:pPr>
      <w:r>
        <w:rPr>
          <w:b/>
          <w:bCs/>
        </w:rPr>
        <w:t xml:space="preserve">Термическое разложение / условия, которых следует избегать: </w:t>
      </w:r>
      <w:r>
        <w:t xml:space="preserve">Разложения не происходит при использовании по назначению.</w:t>
      </w:r>
    </w:p>
    <w:p>
      <w:pPr>
        <w:spacing w:after="80"/>
      </w:pPr>
      <w:r>
        <w:rPr>
          <w:b/>
          <w:bCs/>
        </w:rPr>
        <w:t xml:space="preserve">10.3 Возможность опасных реакций </w:t>
      </w:r>
      <w:r>
        <w:t xml:space="preserve">Опасные реакции неизвестны.</w:t>
      </w:r>
    </w:p>
    <w:p>
      <w:pPr>
        <w:spacing w:after="80"/>
      </w:pPr>
      <w:r>
        <w:rPr>
          <w:b/>
          <w:bCs/>
        </w:rPr>
        <w:t xml:space="preserve">10.4 Условия, которых следует избегать </w:t>
      </w:r>
      <w:r>
        <w:t xml:space="preserve">Дополнительная значимая информация отсутствует.</w:t>
      </w:r>
    </w:p>
    <w:p>
      <w:pPr>
        <w:spacing w:after="80"/>
      </w:pPr>
      <w:r>
        <w:rPr>
          <w:b/>
          <w:bCs/>
        </w:rPr>
        <w:t xml:space="preserve">10.5 Несовместимые материалы: </w:t>
      </w:r>
      <w:r>
        <w:t xml:space="preserve">Дополнительная значимая информация отсутствует.</w:t>
      </w:r>
    </w:p>
    <w:p>
      <w:pPr>
        <w:spacing w:after="80"/>
      </w:pPr>
      <w:r>
        <w:rPr>
          <w:b/>
          <w:bCs/>
        </w:rPr>
        <w:t xml:space="preserve">10.6 Опасные продукты разложения: </w:t>
      </w:r>
      <w:r>
        <w:t xml:space="preserve">Опасные продукты разложения неизвестны.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11: Токсикологическая информация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11.1 Информация о классах опасности согласно Регламенту (ЕС) № 1272/2008</w:t>
      </w:r>
    </w:p>
    <w:p>
      <w:pPr>
        <w:spacing w:after="80"/>
      </w:pPr>
      <w:r>
        <w:rPr>
          <w:b/>
          <w:bCs/>
        </w:rPr>
        <w:t xml:space="preserve">Острая токсичность </w:t>
      </w:r>
      <w:r>
        <w:t xml:space="preserve">На основании имеющихся данных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Значения LD/LC50, значимые для классификации:</w:t>
      </w:r>
    </w:p>
    <w:p>
      <w:pPr>
        <w:spacing w:after="80"/>
      </w:pPr>
      <w:r>
        <w:t xml:space="preserve">CAS: 34590-94-8 Дипропиленгликоль монометиловый эфир</w:t>
      </w:r>
    </w:p>
    <w:p>
      <w:pPr>
        <w:spacing w:after="80"/>
      </w:pPr>
      <w:r>
        <w:t xml:space="preserve">Оральная LD50 5 135 мг/кг (крыса)</w:t>
      </w:r>
    </w:p>
    <w:p>
      <w:pPr>
        <w:spacing w:after="80"/>
      </w:pPr>
      <w:r>
        <w:t xml:space="preserve">Дермальная LD50 &gt;19 000 мг/кг (кролик)</w:t>
      </w:r>
    </w:p>
    <w:p>
      <w:pPr>
        <w:spacing w:after="80"/>
      </w:pPr>
      <w:r>
        <w:t xml:space="preserve">CAS: 2634-33-5 1,2-бензизотиазол-3(2H)-он</w:t>
      </w:r>
    </w:p>
    <w:p>
      <w:pPr>
        <w:spacing w:after="80"/>
      </w:pPr>
      <w:r>
        <w:t xml:space="preserve">Оральная LD50 450 мг/кг (ATE)</w:t>
      </w:r>
    </w:p>
    <w:p>
      <w:pPr>
        <w:spacing w:after="80"/>
      </w:pPr>
      <w:r>
        <w:t xml:space="preserve">Ингаляционная LC50/4ч 0,21 мг/л (ATE)</w:t>
      </w:r>
    </w:p>
    <w:p>
      <w:pPr>
        <w:spacing w:after="80"/>
      </w:pPr>
      <w:r>
        <w:t xml:space="preserve">CAS: 55965-84-9 Смесь: 5-хлор-2-метил-4-изотиазолин-3-он и 2-метил-2H-изотиазол-3-он (3:1)</w:t>
      </w:r>
    </w:p>
    <w:p>
      <w:pPr>
        <w:spacing w:after="80"/>
      </w:pPr>
      <w:r>
        <w:t xml:space="preserve">Оральная LD50 64 мг/кг (крыса)</w:t>
      </w:r>
    </w:p>
    <w:p>
      <w:pPr>
        <w:spacing w:after="80"/>
      </w:pPr>
      <w:r>
        <w:t xml:space="preserve">Дермальная LD50 87 мг/кг (крыса)</w:t>
      </w:r>
    </w:p>
    <w:p>
      <w:pPr>
        <w:spacing w:after="80"/>
      </w:pPr>
      <w:r>
        <w:t xml:space="preserve">Ингаляционная LC50/4ч 0,17 мг/л (крыса)</w:t>
      </w:r>
    </w:p>
    <w:p>
      <w:pPr>
        <w:spacing w:after="60" w:before="120"/>
      </w:pPr>
      <w:r>
        <w:rPr>
          <w:b/>
          <w:bCs/>
        </w:rPr>
        <w:t xml:space="preserve">Первичное раздражающее действие:</w:t>
      </w:r>
    </w:p>
    <w:p>
      <w:pPr>
        <w:spacing w:after="80"/>
      </w:pPr>
      <w:r>
        <w:rPr>
          <w:b/>
          <w:bCs/>
        </w:rPr>
        <w:t xml:space="preserve">Коррозия/раздражение кожи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Серьёзное повреждение глаз/раздражение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Сенсибилизация дыхательных путей или кожи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Мутагенность зародышевых клеток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Канцерогенность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Репродуктивная токсичность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Специфическая токсичность на органы-мишени (однократное воздействие)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Специфическая токсичность на органы-мишени (повторное воздействие) </w:t>
      </w:r>
      <w:r>
        <w:t xml:space="preserve">На основании имеющихся данных критерии классификации не выполняются.</w:t>
      </w:r>
    </w:p>
    <w:p>
      <w:pPr>
        <w:spacing w:after="80"/>
      </w:pPr>
      <w:r>
        <w:rPr>
          <w:b/>
          <w:bCs/>
        </w:rPr>
        <w:t xml:space="preserve">Опасность при аспирации </w:t>
      </w:r>
      <w:r>
        <w:t xml:space="preserve">На основании имеющихся данных критерии классификации не выполняются.</w:t>
      </w:r>
    </w:p>
    <w:p>
      <w:pPr>
        <w:spacing w:after="60" w:before="120"/>
      </w:pPr>
      <w:r>
        <w:rPr>
          <w:b/>
          <w:bCs/>
        </w:rPr>
        <w:t xml:space="preserve">11.2 Информация о прочих опасностях</w:t>
      </w:r>
    </w:p>
    <w:p>
      <w:pPr>
        <w:spacing w:after="80"/>
      </w:pPr>
      <w:r>
        <w:rPr>
          <w:b/>
          <w:bCs/>
        </w:rPr>
        <w:t xml:space="preserve">Свойства эндокринных разрушителей </w:t>
      </w:r>
      <w:r>
        <w:t xml:space="preserve">Ни один из компонентов не включён в список.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12: Экологическая информация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12.1 Токсичность</w:t>
      </w:r>
    </w:p>
    <w:p>
      <w:pPr>
        <w:spacing w:after="60" w:before="120"/>
      </w:pPr>
      <w:r>
        <w:rPr>
          <w:b/>
          <w:bCs/>
        </w:rPr>
        <w:t xml:space="preserve">Токсичность для водных организмов:</w:t>
      </w:r>
    </w:p>
    <w:p>
      <w:pPr>
        <w:spacing w:after="80"/>
      </w:pPr>
      <w:r>
        <w:t xml:space="preserve">CAS: 2634-33-5 1,2-бензизотиазол-3(2H)-он</w:t>
      </w:r>
    </w:p>
    <w:p>
      <w:pPr>
        <w:spacing w:after="80"/>
      </w:pPr>
      <w:r>
        <w:t xml:space="preserve">EC50/48ч 3,27 мг/л (Daphnia magna)</w:t>
      </w:r>
    </w:p>
    <w:p>
      <w:pPr>
        <w:spacing w:after="80"/>
      </w:pPr>
      <w:r>
        <w:t xml:space="preserve">LC50/96ч 2,2 мг/л (Oncorhynchus mykiss)</w:t>
      </w:r>
    </w:p>
    <w:p>
      <w:pPr>
        <w:spacing w:after="80"/>
      </w:pPr>
      <w:r>
        <w:t xml:space="preserve">CAS: 55965-84-9 Смесь: 5-хлор-2-метил-4-изотиазолин-3-он и 2-метил-2H-изотиазол-3-он (3:1)</w:t>
      </w:r>
    </w:p>
    <w:p>
      <w:pPr>
        <w:spacing w:after="80"/>
      </w:pPr>
      <w:r>
        <w:t xml:space="preserve">EC50/48ч 0,16 мг/л (Daphnia magna)</w:t>
      </w:r>
    </w:p>
    <w:p>
      <w:pPr>
        <w:spacing w:after="80"/>
      </w:pPr>
      <w:r>
        <w:t xml:space="preserve">LC50/96ч 0,22 мг/л (Oncorhynchus mykiss)</w:t>
      </w:r>
    </w:p>
    <w:p>
      <w:pPr>
        <w:spacing w:after="80"/>
      </w:pPr>
      <w:r>
        <w:rPr>
          <w:b/>
          <w:bCs/>
        </w:rPr>
        <w:t xml:space="preserve">12.2 Стойкость и разлагаемость </w:t>
      </w:r>
      <w:r>
        <w:t xml:space="preserve">Дополнительная значимая информация отсутствует.</w:t>
      </w:r>
    </w:p>
    <w:p>
      <w:pPr>
        <w:spacing w:after="80"/>
      </w:pPr>
      <w:r>
        <w:rPr>
          <w:b/>
          <w:bCs/>
        </w:rPr>
        <w:t xml:space="preserve">12.3 Биоаккумулятивный потенциал </w:t>
      </w:r>
      <w:r>
        <w:t xml:space="preserve">Дополнительная значимая информация отсутствует.</w:t>
      </w:r>
    </w:p>
    <w:p>
      <w:pPr>
        <w:spacing w:after="80"/>
      </w:pPr>
      <w:r>
        <w:rPr>
          <w:b/>
          <w:bCs/>
        </w:rPr>
        <w:t xml:space="preserve">12.4 Мобильность в почве </w:t>
      </w:r>
      <w:r>
        <w:t xml:space="preserve">Дополнительная значимая информация отсутствует.</w:t>
      </w:r>
    </w:p>
    <w:p>
      <w:pPr>
        <w:spacing w:after="60" w:before="120"/>
      </w:pPr>
      <w:r>
        <w:rPr>
          <w:b/>
          <w:bCs/>
        </w:rPr>
        <w:t xml:space="preserve">12.5 Результаты оценки СБТ и оСБсБ</w:t>
      </w:r>
    </w:p>
    <w:p>
      <w:pPr>
        <w:spacing w:after="80"/>
      </w:pPr>
      <w:r>
        <w:rPr>
          <w:b/>
          <w:bCs/>
        </w:rPr>
        <w:t xml:space="preserve">СБТ: </w:t>
      </w:r>
      <w:r>
        <w:t xml:space="preserve">Данное вещество/смесь не содержит компонентов, которые могут считаться стойкими, биоаккумулятивными и токсичными (СБТ).</w:t>
      </w:r>
    </w:p>
    <w:p>
      <w:pPr>
        <w:spacing w:after="80"/>
      </w:pPr>
      <w:r>
        <w:rPr>
          <w:b/>
          <w:bCs/>
        </w:rPr>
        <w:t xml:space="preserve">оСБсБ: </w:t>
      </w:r>
      <w:r>
        <w:t xml:space="preserve">Данное вещество/смесь не содержит компонентов, которые могут считаться очень стойкими и очень биоаккумулятивными (оСБсБ), в концентрациях 0,1% и более.</w:t>
      </w:r>
    </w:p>
    <w:p>
      <w:pPr>
        <w:spacing w:after="60" w:before="120"/>
      </w:pPr>
      <w:r>
        <w:rPr>
          <w:b/>
          <w:bCs/>
        </w:rPr>
        <w:t xml:space="preserve">12.6 Свойства эндокринных разрушителей</w:t>
      </w:r>
    </w:p>
    <w:p>
      <w:pPr>
        <w:spacing w:after="80"/>
      </w:pPr>
      <w:r>
        <w:t xml:space="preserve">Данное вещество/смесь не содержит компонентов, являющихся эндокринными разрушителями согласно Статье 57(f) UK REACH, Делегированному регламенту Комиссии (ЕС) 2017/2100 или Делегированному регламенту Комиссии (ЕС) 2018/605, в количествах 0,1% или более.</w:t>
      </w:r>
    </w:p>
    <w:p>
      <w:pPr>
        <w:spacing w:after="60" w:before="120"/>
      </w:pPr>
      <w:r>
        <w:rPr>
          <w:b/>
          <w:bCs/>
        </w:rPr>
        <w:t xml:space="preserve">12.7 Прочие неблагоприятные эффекты</w:t>
      </w:r>
    </w:p>
    <w:p>
      <w:pPr>
        <w:spacing w:after="60" w:before="120"/>
      </w:pPr>
      <w:r>
        <w:rPr>
          <w:b/>
          <w:bCs/>
        </w:rPr>
        <w:t xml:space="preserve">Дополнительная экологическая информация:</w:t>
      </w:r>
    </w:p>
    <w:p>
      <w:pPr>
        <w:spacing w:after="80"/>
      </w:pPr>
      <w:r>
        <w:rPr>
          <w:b/>
          <w:bCs/>
        </w:rPr>
        <w:t xml:space="preserve">Общие указания: </w:t>
      </w:r>
      <w:r>
        <w:t xml:space="preserve">Не допускать попадания продукта в грунтовые воды, водоёмы или канализацию.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13: Рекомендации по утилизации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13.1 Методы обработки отходов</w:t>
      </w:r>
    </w:p>
    <w:p>
      <w:pPr>
        <w:spacing w:after="80"/>
      </w:pPr>
      <w:r>
        <w:rPr>
          <w:b/>
          <w:bCs/>
        </w:rPr>
        <w:t xml:space="preserve">Рекомендация </w:t>
      </w:r>
      <w:r>
        <w:t xml:space="preserve">Не допускать попадания продукта в канализацию.</w:t>
      </w:r>
    </w:p>
    <w:p>
      <w:pPr>
        <w:spacing w:after="60" w:before="120"/>
      </w:pPr>
      <w:r>
        <w:rPr>
          <w:b/>
          <w:bCs/>
        </w:rPr>
        <w:t xml:space="preserve">Загрязнённая упаковка:</w:t>
      </w:r>
    </w:p>
    <w:p>
      <w:pPr>
        <w:spacing w:after="80"/>
      </w:pPr>
      <w:r>
        <w:rPr>
          <w:b/>
          <w:bCs/>
        </w:rPr>
        <w:t xml:space="preserve">Рекомендация: </w:t>
      </w:r>
      <w:r>
        <w:t xml:space="preserve">Полностью опорожнить загрязнённую упаковку. После тщательной и надлежащей очистки её можно сдать на переработку.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14: Транспортная информация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14.1 Номер ООН или идентификационный номер</w:t>
      </w:r>
    </w:p>
    <w:p>
      <w:pPr>
        <w:spacing w:after="80"/>
      </w:pPr>
      <w:r>
        <w:rPr>
          <w:b/>
          <w:bCs/>
        </w:rPr>
        <w:t xml:space="preserve">ADR, ADN, IMDG, IATA </w:t>
      </w:r>
      <w:r>
        <w:t xml:space="preserve">Не применимо (Void)</w:t>
      </w:r>
    </w:p>
    <w:p>
      <w:pPr>
        <w:spacing w:after="60" w:before="120"/>
      </w:pPr>
      <w:r>
        <w:rPr>
          <w:b/>
          <w:bCs/>
        </w:rPr>
        <w:t xml:space="preserve">14.2 Надлежащее транспортное наименование ООН</w:t>
      </w:r>
    </w:p>
    <w:p>
      <w:pPr>
        <w:spacing w:after="80"/>
      </w:pPr>
      <w:r>
        <w:rPr>
          <w:b/>
          <w:bCs/>
        </w:rPr>
        <w:t xml:space="preserve">ADR, ADN, IMDG, IATA </w:t>
      </w:r>
      <w:r>
        <w:t xml:space="preserve">Не применимо (Void)</w:t>
      </w:r>
    </w:p>
    <w:p>
      <w:pPr>
        <w:spacing w:after="60" w:before="120"/>
      </w:pPr>
      <w:r>
        <w:rPr>
          <w:b/>
          <w:bCs/>
        </w:rPr>
        <w:t xml:space="preserve">14.3 Класс(ы) транспортной опасности</w:t>
      </w:r>
    </w:p>
    <w:p>
      <w:pPr>
        <w:spacing w:after="80"/>
      </w:pPr>
      <w:r>
        <w:rPr>
          <w:b/>
          <w:bCs/>
        </w:rPr>
        <w:t xml:space="preserve">ADR, ADN, IMDG, IATA — Класс </w:t>
      </w:r>
      <w:r>
        <w:t xml:space="preserve">Не применимо (Void)</w:t>
      </w:r>
    </w:p>
    <w:p>
      <w:pPr>
        <w:spacing w:after="60" w:before="120"/>
      </w:pPr>
      <w:r>
        <w:rPr>
          <w:b/>
          <w:bCs/>
        </w:rPr>
        <w:t xml:space="preserve">14.4 Группа упаковки</w:t>
      </w:r>
    </w:p>
    <w:p>
      <w:pPr>
        <w:spacing w:after="80"/>
      </w:pPr>
      <w:r>
        <w:rPr>
          <w:b/>
          <w:bCs/>
        </w:rPr>
        <w:t xml:space="preserve">ADR, IMDG, IATA </w:t>
      </w:r>
      <w:r>
        <w:t xml:space="preserve">Не применимо (Void)</w:t>
      </w:r>
    </w:p>
    <w:p>
      <w:pPr>
        <w:spacing w:after="60" w:before="120"/>
      </w:pPr>
      <w:r>
        <w:rPr>
          <w:b/>
          <w:bCs/>
        </w:rPr>
        <w:t xml:space="preserve">14.5 Опасности для окружающей среды:</w:t>
      </w:r>
    </w:p>
    <w:p>
      <w:pPr>
        <w:spacing w:after="80"/>
      </w:pPr>
      <w:r>
        <w:rPr>
          <w:b/>
          <w:bCs/>
        </w:rPr>
        <w:t xml:space="preserve">Загрязнитель морской среды: </w:t>
      </w:r>
      <w:r>
        <w:t xml:space="preserve">Нет</w:t>
      </w:r>
    </w:p>
    <w:p>
      <w:pPr>
        <w:spacing w:after="80"/>
      </w:pPr>
      <w:r>
        <w:rPr>
          <w:b/>
          <w:bCs/>
        </w:rPr>
        <w:t xml:space="preserve">14.6 Особые меры предосторожности для пользователя </w:t>
      </w:r>
      <w:r>
        <w:t xml:space="preserve">Не применимо</w:t>
      </w:r>
    </w:p>
    <w:p>
      <w:pPr>
        <w:spacing w:after="80"/>
      </w:pPr>
      <w:r>
        <w:rPr>
          <w:b/>
          <w:bCs/>
        </w:rPr>
        <w:t xml:space="preserve">14.7 Морская перевозка навалом согласно документам ИМО </w:t>
      </w:r>
      <w:r>
        <w:t xml:space="preserve">Не применимо</w:t>
      </w:r>
    </w:p>
    <w:p>
      <w:pPr>
        <w:spacing w:after="80"/>
      </w:pPr>
      <w:r>
        <w:rPr>
          <w:b/>
          <w:bCs/>
        </w:rPr>
        <w:t xml:space="preserve">Транспорт/Дополнительная информация: </w:t>
      </w:r>
      <w:r>
        <w:t xml:space="preserve">Не является опасным согласно указанным выше характеристикам.</w:t>
      </w:r>
    </w:p>
    <w:p>
      <w:pPr>
        <w:spacing w:after="80"/>
      </w:pPr>
      <w:r>
        <w:rPr>
          <w:b/>
          <w:bCs/>
        </w:rPr>
        <w:t xml:space="preserve">«Модельные правила» ООН: </w:t>
      </w:r>
      <w:r>
        <w:t xml:space="preserve">Не применимо (Void)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15: Нормативная информация</w:t>
            </w:r>
          </w:p>
        </w:tc>
      </w:tr>
    </w:tbl>
    <w:p>
      <w:pPr>
        <w:spacing w:after="100" w:before="100"/>
      </w:pPr>
    </w:p>
    <w:p>
      <w:pPr>
        <w:spacing w:after="60" w:before="120"/>
      </w:pPr>
      <w:r>
        <w:rPr>
          <w:b/>
          <w:bCs/>
        </w:rPr>
        <w:t xml:space="preserve">15.1 Нормы безопасности, охраны здоровья и окружающей среды/законодательство, специфичное для вещества или смеси</w:t>
      </w:r>
    </w:p>
    <w:p>
      <w:pPr>
        <w:spacing w:after="60" w:before="120"/>
      </w:pPr>
      <w:r>
        <w:rPr>
          <w:b/>
          <w:bCs/>
        </w:rPr>
        <w:t xml:space="preserve">Закон о ядах (Poisons Act)</w:t>
      </w:r>
    </w:p>
    <w:p>
      <w:pPr>
        <w:spacing w:after="80"/>
      </w:pPr>
      <w:r>
        <w:rPr>
          <w:b/>
          <w:bCs/>
        </w:rPr>
        <w:t xml:space="preserve">Регулируемые прекурсоры взрывчатых веществ </w:t>
      </w:r>
      <w:r>
        <w:t xml:space="preserve">Ни один из компонентов не включён в список.</w:t>
      </w:r>
    </w:p>
    <w:p>
      <w:pPr>
        <w:spacing w:after="80"/>
      </w:pPr>
      <w:r>
        <w:rPr>
          <w:b/>
          <w:bCs/>
        </w:rPr>
        <w:t xml:space="preserve">Регулируемые яды </w:t>
      </w:r>
      <w:r>
        <w:t xml:space="preserve">Ни один из компонентов не включён в список.</w:t>
      </w:r>
    </w:p>
    <w:p>
      <w:pPr>
        <w:spacing w:after="80"/>
      </w:pPr>
      <w:r>
        <w:rPr>
          <w:b/>
          <w:bCs/>
        </w:rPr>
        <w:t xml:space="preserve">Прекурсоры взрывчатых веществ, подлежащие отчётности </w:t>
      </w:r>
      <w:r>
        <w:t xml:space="preserve">Ни один из компонентов не включён в список.</w:t>
      </w:r>
    </w:p>
    <w:p>
      <w:pPr>
        <w:spacing w:after="80"/>
      </w:pPr>
      <w:r>
        <w:rPr>
          <w:b/>
          <w:bCs/>
        </w:rPr>
        <w:t xml:space="preserve">Яды, подлежащие отчётности </w:t>
      </w:r>
      <w:r>
        <w:t xml:space="preserve">Ни один из компонентов не включён в список.</w:t>
      </w:r>
    </w:p>
    <w:p>
      <w:pPr>
        <w:spacing w:after="60" w:before="120"/>
      </w:pPr>
      <w:r>
        <w:rPr>
          <w:b/>
          <w:bCs/>
        </w:rPr>
        <w:t xml:space="preserve">Директива 2012/18/ЕС</w:t>
      </w:r>
    </w:p>
    <w:p>
      <w:pPr>
        <w:spacing w:after="80"/>
      </w:pPr>
      <w:r>
        <w:rPr>
          <w:b/>
          <w:bCs/>
        </w:rPr>
        <w:t xml:space="preserve">Поименованные опасные вещества — ПРИЛОЖЕНИЕ I </w:t>
      </w:r>
      <w:r>
        <w:t xml:space="preserve">Ни один из компонентов не включён в список.</w:t>
      </w:r>
    </w:p>
    <w:p>
      <w:pPr>
        <w:spacing w:after="80"/>
      </w:pPr>
      <w:r>
        <w:rPr>
          <w:b/>
          <w:bCs/>
        </w:rPr>
        <w:t xml:space="preserve">15.2 Оценка химической безопасности: </w:t>
      </w:r>
      <w:r>
        <w:t xml:space="preserve">Оценка химической безопасности не проводилась.</w:t>
      </w:r>
    </w:p>
    <w:tbl>
      <w:tblPr>
        <w:tblW w:type="dxa" w:w="9639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9639"/>
      </w:tblGrid>
      <w:tr>
        <w:tc>
          <w:tcPr>
            <w:tcW w:type="dxa" w:w="9639"/>
            <w:shd w:fill="1F3864" w:color="auto" w:val="clear"/>
            <w:tcMar>
              <w:top w:type="dxa" w:w="100"/>
              <w:left w:type="dxa" w:w="150"/>
              <w:bottom w:type="dxa" w:w="100"/>
              <w:right w:type="dxa" w:w="150"/>
            </w:tcMar>
          </w:tcPr>
          <w:p>
            <w:r>
              <w:rPr>
                <w:b/>
                <w:bCs/>
                <w:color w:val="FFFFFF"/>
                <w:sz w:val="24"/>
                <w:szCs w:val="24"/>
              </w:rPr>
              <w:t xml:space="preserve">РАЗДЕЛ 16: Прочая информация</w:t>
            </w:r>
          </w:p>
        </w:tc>
      </w:tr>
    </w:tbl>
    <w:p>
      <w:pPr>
        <w:spacing w:after="100" w:before="100"/>
      </w:pPr>
    </w:p>
    <w:p>
      <w:pPr>
        <w:spacing w:after="80"/>
      </w:pPr>
      <w:r>
        <w:t xml:space="preserve">Настоящая информация основана на наших текущих знаниях. Однако она не является гарантией каких-либо конкретных свойств продукта и не устанавливает юридически действительных договорных отношений.</w:t>
      </w:r>
    </w:p>
    <w:p>
      <w:pPr>
        <w:spacing w:after="80"/>
      </w:pPr>
      <w:r>
        <w:t xml:space="preserve">Данный паспорт безопасности соответствует Регламенту (ЕС) № 1907/2006, Статья 31, с изменениями, внесёнными Регламентом (ЕС) 2020/878.</w:t>
      </w:r>
    </w:p>
    <w:p>
      <w:pPr>
        <w:spacing w:after="60" w:before="120"/>
      </w:pPr>
      <w:r>
        <w:rPr>
          <w:b/>
          <w:bCs/>
        </w:rPr>
        <w:t xml:space="preserve">Значимые фразы</w:t>
      </w:r>
    </w:p>
    <w:p>
      <w:pPr>
        <w:spacing w:after="80"/>
      </w:pPr>
      <w:r>
        <w:t xml:space="preserve">H301 Токсично при проглатывании.</w:t>
      </w:r>
    </w:p>
    <w:p>
      <w:pPr>
        <w:spacing w:after="80"/>
      </w:pPr>
      <w:r>
        <w:t xml:space="preserve">H302 Вредно при проглатывании.</w:t>
      </w:r>
    </w:p>
    <w:p>
      <w:pPr>
        <w:spacing w:after="80"/>
      </w:pPr>
      <w:r>
        <w:t xml:space="preserve">H310 Смертельно при контакте с кожей.</w:t>
      </w:r>
    </w:p>
    <w:p>
      <w:pPr>
        <w:spacing w:after="80"/>
      </w:pPr>
      <w:r>
        <w:t xml:space="preserve">H314 Вызывает тяжёлые ожоги кожи и повреждения глаз.</w:t>
      </w:r>
    </w:p>
    <w:p>
      <w:pPr>
        <w:spacing w:after="80"/>
      </w:pPr>
      <w:r>
        <w:t xml:space="preserve">H315 Вызывает раздражение кожи.</w:t>
      </w:r>
    </w:p>
    <w:p>
      <w:pPr>
        <w:spacing w:after="80"/>
      </w:pPr>
      <w:r>
        <w:t xml:space="preserve">H317 Может вызывать аллергическую кожную реакцию.</w:t>
      </w:r>
    </w:p>
    <w:p>
      <w:pPr>
        <w:spacing w:after="80"/>
      </w:pPr>
      <w:r>
        <w:t xml:space="preserve">H318 Вызывает серьёзные повреждения глаз.</w:t>
      </w:r>
    </w:p>
    <w:p>
      <w:pPr>
        <w:spacing w:after="80"/>
      </w:pPr>
      <w:r>
        <w:t xml:space="preserve">H319 Вызывает серьёзное раздражение глаз.</w:t>
      </w:r>
    </w:p>
    <w:p>
      <w:pPr>
        <w:spacing w:after="80"/>
      </w:pPr>
      <w:r>
        <w:t xml:space="preserve">H330 Смертельно при вдыхании.</w:t>
      </w:r>
    </w:p>
    <w:p>
      <w:pPr>
        <w:spacing w:after="80"/>
      </w:pPr>
      <w:r>
        <w:t xml:space="preserve">H400 Очень токсично для водных организмов.</w:t>
      </w:r>
    </w:p>
    <w:p>
      <w:pPr>
        <w:spacing w:after="80"/>
      </w:pPr>
      <w:r>
        <w:t xml:space="preserve">H410 Очень токсично для водных организмов с долгосрочными последствиями.</w:t>
      </w:r>
    </w:p>
    <w:p>
      <w:pPr>
        <w:spacing w:after="80"/>
      </w:pPr>
      <w:r>
        <w:t xml:space="preserve">EUH071 Вызывает коррозию дыхательных путей.</w:t>
      </w:r>
    </w:p>
    <w:p>
      <w:pPr>
        <w:spacing w:after="100" w:before="100"/>
      </w:pPr>
    </w:p>
    <w:p>
      <w:pPr>
        <w:pBdr>
          <w:left w:val="single" w:color="1F3864" w:sz="18" w:space="8"/>
        </w:pBdr>
        <w:spacing w:after="150" w:before="100"/>
        <w:ind w:left="100"/>
      </w:pPr>
      <w:r>
        <w:rPr>
          <w:i/>
          <w:iCs/>
        </w:rPr>
        <w:t xml:space="preserve">Указанные классы опасности/фразы относятся к чистому веществу-компоненту, а не к готовому продукту в том виде, в котором он продаётся и используется — сам продукт не классифицируется как опасный (см. раздел 2.1).</w:t>
      </w:r>
    </w:p>
    <w:p>
      <w:pPr>
        <w:spacing w:after="60" w:before="120"/>
      </w:pPr>
      <w:r>
        <w:rPr>
          <w:b/>
          <w:bCs/>
        </w:rPr>
        <w:t xml:space="preserve">Классификация согласно Регламенту (ЕС) № 1272/2008</w:t>
      </w:r>
    </w:p>
    <w:p>
      <w:pPr>
        <w:spacing w:after="80"/>
      </w:pPr>
      <w:r>
        <w:t xml:space="preserve">Классификация смеси в целом основана на методе расчёта с использованием данных о веществах согласно Регламенту (ЕС) № 1272/2008.</w:t>
      </w:r>
    </w:p>
    <w:p>
      <w:pPr>
        <w:spacing w:after="80"/>
      </w:pPr>
      <w:r>
        <w:rPr>
          <w:b/>
          <w:bCs/>
        </w:rPr>
        <w:t xml:space="preserve">Контакт: </w:t>
      </w:r>
      <w:r>
        <w:t xml:space="preserve">E-Mail: msds.info@pallmann.net</w:t>
      </w:r>
    </w:p>
    <w:p>
      <w:pPr>
        <w:spacing w:after="60" w:before="120"/>
      </w:pPr>
      <w:r>
        <w:rPr>
          <w:b/>
          <w:bCs/>
        </w:rPr>
        <w:t xml:space="preserve">Сокращения и аббревиатуры:</w:t>
      </w:r>
    </w:p>
    <w:p>
      <w:pPr>
        <w:spacing w:after="80"/>
      </w:pPr>
      <w:r>
        <w:t xml:space="preserve">RID: Правила международной перевозки опасных грузов по железным дорогам</w:t>
      </w:r>
    </w:p>
    <w:p>
      <w:pPr>
        <w:spacing w:after="80"/>
      </w:pPr>
      <w:r>
        <w:t xml:space="preserve">ICAO: Международная организация гражданской авиации</w:t>
      </w:r>
    </w:p>
    <w:p>
      <w:pPr>
        <w:spacing w:after="80"/>
      </w:pPr>
      <w:r>
        <w:t xml:space="preserve">ADR: Европейское соглашение о международной дорожной перевозке опасных грузов</w:t>
      </w:r>
    </w:p>
    <w:p>
      <w:pPr>
        <w:spacing w:after="80"/>
      </w:pPr>
      <w:r>
        <w:t xml:space="preserve">IMDG: Международный кодекс морской перевозки опасных грузов</w:t>
      </w:r>
    </w:p>
    <w:p>
      <w:pPr>
        <w:spacing w:after="80"/>
      </w:pPr>
      <w:r>
        <w:t xml:space="preserve">IATA: Международная ассоциация воздушного транспорта</w:t>
      </w:r>
    </w:p>
    <w:p>
      <w:pPr>
        <w:spacing w:after="80"/>
      </w:pPr>
      <w:r>
        <w:t xml:space="preserve">GHS: Согласованная на глобальном уровне система классификации и маркировки химических веществ</w:t>
      </w:r>
    </w:p>
    <w:p>
      <w:pPr>
        <w:spacing w:after="80"/>
      </w:pPr>
      <w:r>
        <w:t xml:space="preserve">EINECS: Европейский перечень существующих коммерческих химических веществ</w:t>
      </w:r>
    </w:p>
    <w:p>
      <w:pPr>
        <w:spacing w:after="80"/>
      </w:pPr>
      <w:r>
        <w:t xml:space="preserve">ELINCS: Европейский список зарегистрированных химических веществ</w:t>
      </w:r>
    </w:p>
    <w:p>
      <w:pPr>
        <w:spacing w:after="80"/>
      </w:pPr>
      <w:r>
        <w:t xml:space="preserve">CAS: Служба химических рефератов (подразделение Американского химического общества)</w:t>
      </w:r>
    </w:p>
    <w:p>
      <w:pPr>
        <w:spacing w:after="80"/>
      </w:pPr>
      <w:r>
        <w:t xml:space="preserve">LC50: Летальная концентрация, 50 процентов</w:t>
      </w:r>
    </w:p>
    <w:p>
      <w:pPr>
        <w:spacing w:after="80"/>
      </w:pPr>
      <w:r>
        <w:t xml:space="preserve">LD50: Летальная доза, 50 процентов</w:t>
      </w:r>
    </w:p>
    <w:p>
      <w:pPr>
        <w:spacing w:after="80"/>
      </w:pPr>
      <w:r>
        <w:t xml:space="preserve">СБТ: стойкое, биоаккумулятивное и токсичное вещество</w:t>
      </w:r>
    </w:p>
    <w:p>
      <w:pPr>
        <w:spacing w:after="80"/>
      </w:pPr>
      <w:r>
        <w:t xml:space="preserve">оСБсБ: очень стойкое и очень биоаккумулятивное вещество</w:t>
      </w:r>
    </w:p>
    <w:p>
      <w:pPr>
        <w:spacing w:after="80"/>
      </w:pPr>
      <w:r>
        <w:t xml:space="preserve">ATE: расчётные значения острой токсичности</w:t>
      </w:r>
    </w:p>
    <w:p>
      <w:pPr>
        <w:spacing w:after="80"/>
      </w:pPr>
      <w:r>
        <w:t xml:space="preserve">Acute Tox. 3: Острая токсичность — Категория 3</w:t>
      </w:r>
    </w:p>
    <w:p>
      <w:pPr>
        <w:spacing w:after="80"/>
      </w:pPr>
      <w:r>
        <w:t xml:space="preserve">Acute Tox. 4: Острая токсичность — Категория 4</w:t>
      </w:r>
    </w:p>
    <w:p>
      <w:pPr>
        <w:spacing w:after="80"/>
      </w:pPr>
      <w:r>
        <w:t xml:space="preserve">Acute Tox. 2: Острая токсичность — Категория 2</w:t>
      </w:r>
    </w:p>
    <w:p>
      <w:pPr>
        <w:spacing w:after="80"/>
      </w:pPr>
      <w:r>
        <w:t xml:space="preserve">Skin Corr. 1C: Коррозия/раздражение кожи — Категория 1C</w:t>
      </w:r>
    </w:p>
    <w:p>
      <w:pPr>
        <w:spacing w:after="80"/>
      </w:pPr>
      <w:r>
        <w:t xml:space="preserve">Skin Irrit. 2: Коррозия/раздражение кожи — Категория 2</w:t>
      </w:r>
    </w:p>
    <w:p>
      <w:pPr>
        <w:spacing w:after="80"/>
      </w:pPr>
      <w:r>
        <w:t xml:space="preserve">Eye Dam. 1: Серьёзное повреждение/раздражение глаз — Категория 1</w:t>
      </w:r>
    </w:p>
    <w:p>
      <w:pPr>
        <w:spacing w:after="80"/>
      </w:pPr>
      <w:r>
        <w:t xml:space="preserve">Eye Irrit. 2: Серьёзное повреждение/раздражение глаз — Категория 2</w:t>
      </w:r>
    </w:p>
    <w:p>
      <w:pPr>
        <w:spacing w:after="80"/>
      </w:pPr>
      <w:r>
        <w:t xml:space="preserve">Skin Sens. 1A: Сенсибилизация кожи — Категория 1A</w:t>
      </w:r>
    </w:p>
    <w:p>
      <w:pPr>
        <w:spacing w:after="80"/>
      </w:pPr>
      <w:r>
        <w:t xml:space="preserve">Aquatic Acute 1: Опасность для водной среды - острая водная опасность — Категория 1</w:t>
      </w:r>
    </w:p>
    <w:p>
      <w:pPr>
        <w:spacing w:after="80"/>
      </w:pPr>
      <w:r>
        <w:t xml:space="preserve">Aquatic Chronic 1: Опасность для водной среды - долгосрочная водная опасность — Категория 1</w:t>
      </w:r>
    </w:p>
    <w:sectPr>
      <w:pgSz w:w="11907" w:h="16840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2026-07-20T16:14:17.324Z</dcterms:created>
  <dcterms:modified xsi:type="dcterms:W3CDTF">2026-07-20T16:14:17.341Z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