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spacing w:after="20"/>
        <w:jc w:val="center"/>
      </w:pPr>
      <w:r>
        <w:rPr>
          <w:b/>
          <w:bCs/>
          <w:sz w:val="32"/>
          <w:szCs w:val="32"/>
        </w:rPr>
        <w:t xml:space="preserve">Паспорт безопасности</w:t>
      </w:r>
    </w:p>
    <w:p>
      <w:pPr>
        <w:spacing w:after="120"/>
        <w:jc w:val="center"/>
      </w:pPr>
      <w:r>
        <w:rPr>
          <w:i/>
          <w:iCs/>
          <w:sz w:val="20"/>
          <w:szCs w:val="20"/>
        </w:rPr>
        <w:t xml:space="preserve">согласно 1907/2006/EC, Статья 31</w:t>
      </w:r>
    </w:p>
    <w:p>
      <w:pPr>
        <w:pBdr>
          <w:bottom w:val="single" w:color="000000" w:sz="6" w:space="4"/>
        </w:pBdr>
        <w:spacing w:after="200"/>
        <w:jc w:val="center"/>
      </w:pPr>
      <w:r>
        <w:rPr>
          <w:b/>
          <w:bCs/>
          <w:sz w:val="26"/>
          <w:szCs w:val="26"/>
        </w:rPr>
        <w:t xml:space="preserve">PALL-X FILLER</w:t>
      </w:r>
    </w:p>
    <w:tbl>
      <w:tblPr>
        <w:tblW w:type="dxa" w:w="9638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9638"/>
      </w:tblGrid>
      <w:tr>
        <w:tc>
          <w:tcPr>
            <w:tcW w:type="dxa" w:w="9638"/>
            <w:shd w:fill="1F3864" w:color="auto" w:val="clear"/>
            <w:tcMar>
              <w:top w:type="dxa" w:w="100"/>
              <w:left w:type="dxa" w:w="120"/>
              <w:bottom w:type="dxa" w:w="100"/>
              <w:right w:type="dxa" w:w="120"/>
            </w:tcMar>
          </w:tcPr>
          <w:p>
            <w:r>
              <w:rPr>
                <w:b/>
                <w:bCs/>
                <w:color w:val="FFFFFF"/>
                <w:sz w:val="22"/>
                <w:szCs w:val="22"/>
              </w:rPr>
              <w:t xml:space="preserve">РАЗДЕЛ 1: Идентификация вещества/смеси и сведения о компании</w:t>
            </w:r>
          </w:p>
        </w:tc>
      </w:tr>
    </w:tbl>
    <w:p>
      <w:pPr>
        <w:spacing w:after="80"/>
      </w:pPr>
    </w:p>
    <w:p>
      <w:pPr>
        <w:spacing w:after="60" w:before="120"/>
      </w:pPr>
      <w:r>
        <w:rPr>
          <w:b/>
          <w:bCs/>
          <w:sz w:val="21"/>
          <w:szCs w:val="21"/>
        </w:rPr>
        <w:t xml:space="preserve">1.1 Идентификатор продукта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Торговое название: PALL-X FILLER</w:t>
      </w:r>
    </w:p>
    <w:p>
      <w:pPr>
        <w:spacing w:after="60" w:before="120"/>
      </w:pPr>
      <w:r>
        <w:rPr>
          <w:b/>
          <w:bCs/>
          <w:sz w:val="21"/>
          <w:szCs w:val="21"/>
        </w:rPr>
        <w:t xml:space="preserve">1.2 Соответствующие установленные способы применения вещества или смеси и способы применения, использование которых не рекомендуется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Особых требований нет.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Сектор применения:</w:t>
      </w:r>
    </w:p>
    <w:p>
      <w:pPr>
        <w:spacing w:after="0"/>
        <w:ind w:left="260"/>
      </w:pPr>
      <w:r>
        <w:rPr>
          <w:sz w:val="21"/>
          <w:szCs w:val="21"/>
        </w:rPr>
        <w:t xml:space="preserve">●  </w:t>
      </w:r>
      <w:r>
        <w:rPr>
          <w:sz w:val="21"/>
          <w:szCs w:val="21"/>
        </w:rPr>
        <w:t xml:space="preserve">SU19 Строительные работы</w:t>
      </w:r>
    </w:p>
    <w:p>
      <w:pPr>
        <w:spacing w:after="0"/>
        <w:ind w:left="260"/>
      </w:pPr>
      <w:r>
        <w:rPr>
          <w:sz w:val="21"/>
          <w:szCs w:val="21"/>
        </w:rPr>
        <w:t xml:space="preserve">●  </w:t>
      </w:r>
      <w:r>
        <w:rPr>
          <w:sz w:val="21"/>
          <w:szCs w:val="21"/>
        </w:rPr>
        <w:t xml:space="preserve">SU22 Профессиональное использование: Общественная сфера (администрация, образование, развлечения, услуги, ремесленники)</w:t>
      </w:r>
    </w:p>
    <w:p>
      <w:pPr>
        <w:spacing w:after="0"/>
        <w:ind w:left="260"/>
      </w:pPr>
      <w:r>
        <w:rPr>
          <w:sz w:val="21"/>
          <w:szCs w:val="21"/>
        </w:rPr>
        <w:t xml:space="preserve">●  </w:t>
      </w:r>
      <w:r>
        <w:rPr>
          <w:sz w:val="21"/>
          <w:szCs w:val="21"/>
        </w:rPr>
        <w:t xml:space="preserve">SU21 Потребительское использование: Частные домохозяйства / широкая публика / потребители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Категория продукта: PC9a Покрытия и краски, разбавители, средства для удаления краски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Применение вещества / смеси: Водно-дисперсионный, однокомпонентный лак-герметик для паркета</w:t>
      </w:r>
    </w:p>
    <w:p>
      <w:pPr>
        <w:spacing w:after="60" w:before="120"/>
      </w:pPr>
      <w:r>
        <w:rPr>
          <w:b/>
          <w:bCs/>
          <w:sz w:val="21"/>
          <w:szCs w:val="21"/>
        </w:rPr>
        <w:t xml:space="preserve">1.3 Данные поставщика паспорта безопасности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Производитель/Поставщик: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PALLMANN GmbH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Im Kreuz 6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D-97076 Würzburg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Тел. +49 (0)931-27964-0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Факс +49 (0)931-27964-50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Дополнительную информацию можно получить в: Products Development Lab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Эл. почта: msds.info@uzin-utz.com</w:t>
      </w:r>
    </w:p>
    <w:p>
      <w:pPr>
        <w:spacing w:after="60" w:before="120"/>
      </w:pPr>
      <w:r>
        <w:rPr>
          <w:b/>
          <w:bCs/>
          <w:sz w:val="21"/>
          <w:szCs w:val="21"/>
        </w:rPr>
        <w:t xml:space="preserve">1.4 Номер телефона экстренной связи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Медицинские экстренные ситуации (GIZ-Nord Poisons Center): +49 551 19240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Транспортные экстренные ситуации: +49 621 60 43 333</w:t>
      </w:r>
    </w:p>
    <w:p>
      <w:pPr>
        <w:spacing w:after="160"/>
      </w:pPr>
    </w:p>
    <w:tbl>
      <w:tblPr>
        <w:tblW w:type="dxa" w:w="9638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9638"/>
      </w:tblGrid>
      <w:tr>
        <w:tc>
          <w:tcPr>
            <w:tcW w:type="dxa" w:w="9638"/>
            <w:shd w:fill="1F3864" w:color="auto" w:val="clear"/>
            <w:tcMar>
              <w:top w:type="dxa" w:w="100"/>
              <w:left w:type="dxa" w:w="120"/>
              <w:bottom w:type="dxa" w:w="100"/>
              <w:right w:type="dxa" w:w="120"/>
            </w:tcMar>
          </w:tcPr>
          <w:p>
            <w:r>
              <w:rPr>
                <w:b/>
                <w:bCs/>
                <w:color w:val="FFFFFF"/>
                <w:sz w:val="22"/>
                <w:szCs w:val="22"/>
              </w:rPr>
              <w:t xml:space="preserve">РАЗДЕЛ 2: Идентификация опасности</w:t>
            </w:r>
          </w:p>
        </w:tc>
      </w:tr>
    </w:tbl>
    <w:p>
      <w:pPr>
        <w:spacing w:after="80"/>
      </w:pPr>
    </w:p>
    <w:p>
      <w:pPr>
        <w:spacing w:after="60" w:before="120"/>
      </w:pPr>
      <w:r>
        <w:rPr>
          <w:b/>
          <w:bCs/>
          <w:sz w:val="21"/>
          <w:szCs w:val="21"/>
        </w:rPr>
        <w:t xml:space="preserve">2.1 Классификация вещества или смеси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Классификация согласно Регламенту (ЕС) № 1272/2008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Продукт не классифицируется согласно Регламенту CLP Великобритании.</w:t>
      </w:r>
    </w:p>
    <w:p>
      <w:pPr>
        <w:spacing w:after="60" w:before="120"/>
      </w:pPr>
      <w:r>
        <w:rPr>
          <w:b/>
          <w:bCs/>
          <w:sz w:val="21"/>
          <w:szCs w:val="21"/>
        </w:rPr>
        <w:t xml:space="preserve">2.2 Элементы маркировки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Маркировка согласно Регламенту (ЕС) № 1272/2008: отсутствует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Пиктограммы опасности: отсутствуют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Сигнальное слово: отсутствует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Указания на опасность: отсутствуют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Дополнительная информация: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EUH208 Содержит смесь: 5-хлор-2-метил-4-изотиазолин-3-он и 2-метил-2H-изотиазол-3-он (3:1), 1,2-бензизотиазол-3(2H)-он. Может вызывать аллергическую реакцию.</w:t>
      </w:r>
    </w:p>
    <w:p>
      <w:pPr>
        <w:spacing w:after="60" w:before="120"/>
      </w:pPr>
      <w:r>
        <w:rPr>
          <w:b/>
          <w:bCs/>
          <w:sz w:val="21"/>
          <w:szCs w:val="21"/>
        </w:rPr>
        <w:t xml:space="preserve">2.3 Прочие опасности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Результаты оценки на СБТ и оСБсБ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СБТ: не применимо.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оСБсБ: не применимо.</w:t>
      </w:r>
    </w:p>
    <w:p>
      <w:pPr>
        <w:spacing w:after="160"/>
      </w:pPr>
    </w:p>
    <w:tbl>
      <w:tblPr>
        <w:tblW w:type="dxa" w:w="9638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9638"/>
      </w:tblGrid>
      <w:tr>
        <w:tc>
          <w:tcPr>
            <w:tcW w:type="dxa" w:w="9638"/>
            <w:shd w:fill="1F3864" w:color="auto" w:val="clear"/>
            <w:tcMar>
              <w:top w:type="dxa" w:w="100"/>
              <w:left w:type="dxa" w:w="120"/>
              <w:bottom w:type="dxa" w:w="100"/>
              <w:right w:type="dxa" w:w="120"/>
            </w:tcMar>
          </w:tcPr>
          <w:p>
            <w:r>
              <w:rPr>
                <w:b/>
                <w:bCs/>
                <w:color w:val="FFFFFF"/>
                <w:sz w:val="22"/>
                <w:szCs w:val="22"/>
              </w:rPr>
              <w:t xml:space="preserve">РАЗДЕЛ 3: Состав / информация о компонентах</w:t>
            </w:r>
          </w:p>
        </w:tc>
      </w:tr>
    </w:tbl>
    <w:p>
      <w:pPr>
        <w:spacing w:after="80"/>
      </w:pPr>
    </w:p>
    <w:p>
      <w:pPr>
        <w:spacing w:after="60" w:before="120"/>
      </w:pPr>
      <w:r>
        <w:rPr>
          <w:b/>
          <w:bCs/>
          <w:sz w:val="21"/>
          <w:szCs w:val="21"/>
        </w:rPr>
        <w:t xml:space="preserve">3.2 Смеси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Описание: Водно-дисперсионный, однокомпонентный лак-герметик для паркета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Опасные компоненты: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3200"/>
        <w:gridCol w:w="5800"/>
        <w:gridCol w:w="1006"/>
      </w:tblGrid>
      <w:tr>
        <w:trPr>
          <w:tblHeader/>
        </w:trPr>
        <w:tc>
          <w:tcPr>
            <w:tcW w:type="dxa" w:w="3200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shd w:fill="D9E2F3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b/>
                <w:bCs/>
                <w:sz w:val="20"/>
                <w:szCs w:val="20"/>
              </w:rPr>
              <w:t xml:space="preserve">CAS / EINECS / Reg.nr.</w:t>
            </w:r>
          </w:p>
        </w:tc>
        <w:tc>
          <w:tcPr>
            <w:tcW w:type="dxa" w:w="5800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shd w:fill="D9E2F3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b/>
                <w:bCs/>
                <w:sz w:val="20"/>
                <w:szCs w:val="20"/>
              </w:rPr>
              <w:t xml:space="preserve">Наименование и классификация</w:t>
            </w:r>
          </w:p>
        </w:tc>
        <w:tc>
          <w:tcPr>
            <w:tcW w:type="dxa" w:w="1006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shd w:fill="D9E2F3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b/>
                <w:bCs/>
                <w:sz w:val="20"/>
                <w:szCs w:val="20"/>
              </w:rPr>
              <w:t xml:space="preserve">Конц.</w:t>
            </w:r>
          </w:p>
        </w:tc>
      </w:tr>
      <w:tr>
        <w:tc>
          <w:tcPr>
            <w:tcW w:type="dxa" w:w="3200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sz w:val="20"/>
                <w:szCs w:val="20"/>
              </w:rPr>
              <w:t xml:space="preserve">CAS: 64-17-5
EINECS: 200-578-6
Reg.nr.: 01-2119457610-43</w:t>
            </w:r>
          </w:p>
        </w:tc>
        <w:tc>
          <w:tcPr>
            <w:tcW w:type="dxa" w:w="5800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20"/>
            </w:pPr>
            <w:r>
              <w:rPr>
                <w:sz w:val="20"/>
                <w:szCs w:val="20"/>
              </w:rPr>
              <w:t xml:space="preserve">Этанол</w:t>
            </w:r>
          </w:p>
          <w:p>
            <w:pPr>
              <w:spacing w:after="20"/>
            </w:pPr>
            <w:r>
              <w:rPr>
                <w:sz w:val="20"/>
                <w:szCs w:val="20"/>
              </w:rPr>
              <w:t xml:space="preserve">Flam. Liq. 2, H225</w:t>
            </w:r>
          </w:p>
        </w:tc>
        <w:tc>
          <w:tcPr>
            <w:tcW w:type="dxa" w:w="1006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sz w:val="20"/>
                <w:szCs w:val="20"/>
              </w:rPr>
              <w:t xml:space="preserve">1-&lt;5%</w:t>
            </w:r>
          </w:p>
        </w:tc>
      </w:tr>
      <w:tr>
        <w:tc>
          <w:tcPr>
            <w:tcW w:type="dxa" w:w="3200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sz w:val="20"/>
                <w:szCs w:val="20"/>
              </w:rPr>
              <w:t xml:space="preserve">CAS: 2634-33-5
EINECS: 220-120-9</w:t>
            </w:r>
          </w:p>
        </w:tc>
        <w:tc>
          <w:tcPr>
            <w:tcW w:type="dxa" w:w="5800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20"/>
            </w:pPr>
            <w:r>
              <w:rPr>
                <w:sz w:val="20"/>
                <w:szCs w:val="20"/>
              </w:rPr>
              <w:t xml:space="preserve">1,2-бензизотиазол-3(2H)-он</w:t>
            </w:r>
          </w:p>
          <w:p>
            <w:pPr>
              <w:spacing w:after="20"/>
            </w:pPr>
            <w:r>
              <w:rPr>
                <w:sz w:val="20"/>
                <w:szCs w:val="20"/>
              </w:rPr>
              <w:t xml:space="preserve">Eye Dam. 1, H318; Aquatic Acute 1, H400; Acute Tox. 4, H302; Skin Irrit. 2, H315; Skin Sens. 1, H317</w:t>
            </w:r>
          </w:p>
          <w:p>
            <w:pPr>
              <w:spacing w:after="20"/>
            </w:pPr>
            <w:r>
              <w:rPr>
                <w:sz w:val="20"/>
                <w:szCs w:val="20"/>
              </w:rPr>
              <w:t xml:space="preserve">Специфический предел концентрации: Skin Sens. 1; H317: C ≥ 0.05 %</w:t>
            </w:r>
          </w:p>
        </w:tc>
        <w:tc>
          <w:tcPr>
            <w:tcW w:type="dxa" w:w="1006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sz w:val="20"/>
                <w:szCs w:val="20"/>
              </w:rPr>
              <w:t xml:space="preserve">&lt;0.05%</w:t>
            </w:r>
          </w:p>
        </w:tc>
      </w:tr>
      <w:tr>
        <w:tc>
          <w:tcPr>
            <w:tcW w:type="dxa" w:w="3200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sz w:val="20"/>
                <w:szCs w:val="20"/>
              </w:rPr>
              <w:t xml:space="preserve">CAS: 55965-84-9</w:t>
            </w:r>
          </w:p>
        </w:tc>
        <w:tc>
          <w:tcPr>
            <w:tcW w:type="dxa" w:w="5800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pPr>
              <w:spacing w:after="20"/>
            </w:pPr>
            <w:r>
              <w:rPr>
                <w:sz w:val="20"/>
                <w:szCs w:val="20"/>
              </w:rPr>
              <w:t xml:space="preserve">Смесь: 5-хлор-2-метил-4-изотиазолин-3-он и 2-метил-2H-изотиазол-3-он (3:1)</w:t>
            </w:r>
          </w:p>
          <w:p>
            <w:pPr>
              <w:spacing w:after="20"/>
            </w:pPr>
            <w:r>
              <w:rPr>
                <w:sz w:val="20"/>
                <w:szCs w:val="20"/>
              </w:rPr>
              <w:t xml:space="preserve">Acute Tox. 3, H301; Acute Tox. 2, H310; Acute Tox. 2, H330; Skin Corr. 1C, H314; Eye Dam. 1, H318; Aquatic Acute 1, H400 (M=100); Aquatic Chronic 1, H410 (M=100); Skin Sens. 1A, H317</w:t>
            </w:r>
          </w:p>
          <w:p>
            <w:pPr>
              <w:spacing w:after="20"/>
            </w:pPr>
            <w:r>
              <w:rPr>
                <w:sz w:val="20"/>
                <w:szCs w:val="20"/>
              </w:rPr>
              <w:t xml:space="preserve">Специфические пределы концентрации: Skin Corr. 1C; H314: C ≥ 0.6 %; Skin Irrit. 2; H315: 0.06 % ≤ C &lt; 0.6 %; Eye Dam. 1; H318: C ≥ 0.6 %; Eye Irrit. 2; H319: 0.06 % ≤ C &lt; 0.6 %; Skin Sens. 1A; H317: C ≥ 0.0015 %</w:t>
            </w:r>
          </w:p>
        </w:tc>
        <w:tc>
          <w:tcPr>
            <w:tcW w:type="dxa" w:w="1006"/>
            <w:tcBorders>
              <w:top w:val="single" w:color="8EA9DB" w:sz="4"/>
              <w:left w:val="single" w:color="8EA9DB" w:sz="4"/>
              <w:bottom w:val="single" w:color="8EA9DB" w:sz="4"/>
              <w:right w:val="single" w:color="8EA9DB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sz w:val="20"/>
                <w:szCs w:val="20"/>
              </w:rPr>
              <w:t xml:space="preserve">&lt;0.0015%</w:t>
            </w:r>
          </w:p>
        </w:tc>
      </w:tr>
    </w:tbl>
    <w:p>
      <w:pPr>
        <w:spacing w:after="80"/>
      </w:pP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Дополнительная информация: Формулировки перечисленных фраз опасности приведены в разделе 16.</w:t>
      </w:r>
    </w:p>
    <w:p>
      <w:pPr>
        <w:pBdr>
          <w:left w:val="single" w:color="1F3864" w:sz="18" w:space="8"/>
        </w:pBdr>
        <w:spacing w:after="100" w:before="100"/>
        <w:ind w:left="120"/>
      </w:pPr>
      <w:r>
        <w:rPr>
          <w:i/>
          <w:iCs/>
          <w:sz w:val="21"/>
          <w:szCs w:val="21"/>
        </w:rPr>
        <w:t xml:space="preserve">Указанные классы опасности/фразы относятся к чистому веществу-компоненту, а не к готовому продукту в том виде, в котором он продаётся и используется — сам продукт не классифицируется как опасный (см. раздел 2.1).</w:t>
      </w:r>
    </w:p>
    <w:p>
      <w:pPr>
        <w:spacing w:after="160"/>
      </w:pPr>
    </w:p>
    <w:tbl>
      <w:tblPr>
        <w:tblW w:type="dxa" w:w="9638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9638"/>
      </w:tblGrid>
      <w:tr>
        <w:tc>
          <w:tcPr>
            <w:tcW w:type="dxa" w:w="9638"/>
            <w:shd w:fill="1F3864" w:color="auto" w:val="clear"/>
            <w:tcMar>
              <w:top w:type="dxa" w:w="100"/>
              <w:left w:type="dxa" w:w="120"/>
              <w:bottom w:type="dxa" w:w="100"/>
              <w:right w:type="dxa" w:w="120"/>
            </w:tcMar>
          </w:tcPr>
          <w:p>
            <w:r>
              <w:rPr>
                <w:b/>
                <w:bCs/>
                <w:color w:val="FFFFFF"/>
                <w:sz w:val="22"/>
                <w:szCs w:val="22"/>
              </w:rPr>
              <w:t xml:space="preserve">РАЗДЕЛ 4: Меры первой помощи</w:t>
            </w:r>
          </w:p>
        </w:tc>
      </w:tr>
    </w:tbl>
    <w:p>
      <w:pPr>
        <w:spacing w:after="80"/>
      </w:pPr>
    </w:p>
    <w:p>
      <w:pPr>
        <w:spacing w:after="60" w:before="120"/>
      </w:pPr>
      <w:r>
        <w:rPr>
          <w:b/>
          <w:bCs/>
          <w:sz w:val="21"/>
          <w:szCs w:val="21"/>
        </w:rPr>
        <w:t xml:space="preserve">4.1 Описание мер первой помощи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Общая информация: Особых мер не требуется.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После вдыхания: Обеспечить приток свежего воздуха.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После контакта с кожей: Немедленно промыть водой с мылом и тщательно ополоснуть.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После контакта с глазами: Промывать открытый глаз в течение нескольких минут под проточной водой. Затем обратиться к врачу.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После проглатывания: Не вызывать рвоту; немедленно вызвать медицинскую помощь.</w:t>
      </w:r>
    </w:p>
    <w:p>
      <w:pPr>
        <w:spacing w:after="60" w:before="120"/>
      </w:pPr>
      <w:r>
        <w:rPr>
          <w:b/>
          <w:bCs/>
          <w:sz w:val="21"/>
          <w:szCs w:val="21"/>
        </w:rPr>
        <w:t xml:space="preserve">4.2 Наиболее важные симптомы и эффекты, как острые, так и отложенные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Дополнительная значимая информация отсутствует.</w:t>
      </w:r>
    </w:p>
    <w:p>
      <w:pPr>
        <w:spacing w:after="60" w:before="120"/>
      </w:pPr>
      <w:r>
        <w:rPr>
          <w:b/>
          <w:bCs/>
          <w:sz w:val="21"/>
          <w:szCs w:val="21"/>
        </w:rPr>
        <w:t xml:space="preserve">4.3 Указание на необходимость немедленной медицинской помощи и специального лечения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Дополнительная значимая информация отсутствует.</w:t>
      </w:r>
    </w:p>
    <w:p>
      <w:pPr>
        <w:spacing w:after="160"/>
      </w:pPr>
    </w:p>
    <w:tbl>
      <w:tblPr>
        <w:tblW w:type="dxa" w:w="9638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9638"/>
      </w:tblGrid>
      <w:tr>
        <w:tc>
          <w:tcPr>
            <w:tcW w:type="dxa" w:w="9638"/>
            <w:shd w:fill="1F3864" w:color="auto" w:val="clear"/>
            <w:tcMar>
              <w:top w:type="dxa" w:w="100"/>
              <w:left w:type="dxa" w:w="120"/>
              <w:bottom w:type="dxa" w:w="100"/>
              <w:right w:type="dxa" w:w="120"/>
            </w:tcMar>
          </w:tcPr>
          <w:p>
            <w:r>
              <w:rPr>
                <w:b/>
                <w:bCs/>
                <w:color w:val="FFFFFF"/>
                <w:sz w:val="22"/>
                <w:szCs w:val="22"/>
              </w:rPr>
              <w:t xml:space="preserve">РАЗДЕЛ 5: Меры пожаротушения</w:t>
            </w:r>
          </w:p>
        </w:tc>
      </w:tr>
    </w:tbl>
    <w:p>
      <w:pPr>
        <w:spacing w:after="80"/>
      </w:pPr>
    </w:p>
    <w:p>
      <w:pPr>
        <w:spacing w:after="60" w:before="120"/>
      </w:pPr>
      <w:r>
        <w:rPr>
          <w:b/>
          <w:bCs/>
          <w:sz w:val="21"/>
          <w:szCs w:val="21"/>
        </w:rPr>
        <w:t xml:space="preserve">5.1 Средства пожаротушения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Подходящие средства пожаротушения: CO₂, порошок или водяной спрей. Крупные пожары тушить водяным спреем или пеной, устойчивой к спирту.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Средства пожаротушения, непригодные по соображениям безопасности: Вода со сплошной струёй</w:t>
      </w:r>
    </w:p>
    <w:p>
      <w:pPr>
        <w:spacing w:after="60" w:before="120"/>
      </w:pPr>
      <w:r>
        <w:rPr>
          <w:b/>
          <w:bCs/>
          <w:sz w:val="21"/>
          <w:szCs w:val="21"/>
        </w:rPr>
        <w:t xml:space="preserve">5.2 Особые опасности, исходящие от вещества или смеси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Дополнительная значимая информация отсутствует.</w:t>
      </w:r>
    </w:p>
    <w:p>
      <w:pPr>
        <w:spacing w:after="60" w:before="120"/>
      </w:pPr>
      <w:r>
        <w:rPr>
          <w:b/>
          <w:bCs/>
          <w:sz w:val="21"/>
          <w:szCs w:val="21"/>
        </w:rPr>
        <w:t xml:space="preserve">5.3 Рекомендации для пожарных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Средства защиты: Особых мер не требуется.</w:t>
      </w:r>
    </w:p>
    <w:p>
      <w:pPr>
        <w:spacing w:after="160"/>
      </w:pPr>
    </w:p>
    <w:tbl>
      <w:tblPr>
        <w:tblW w:type="dxa" w:w="9638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9638"/>
      </w:tblGrid>
      <w:tr>
        <w:tc>
          <w:tcPr>
            <w:tcW w:type="dxa" w:w="9638"/>
            <w:shd w:fill="1F3864" w:color="auto" w:val="clear"/>
            <w:tcMar>
              <w:top w:type="dxa" w:w="100"/>
              <w:left w:type="dxa" w:w="120"/>
              <w:bottom w:type="dxa" w:w="100"/>
              <w:right w:type="dxa" w:w="120"/>
            </w:tcMar>
          </w:tcPr>
          <w:p>
            <w:r>
              <w:rPr>
                <w:b/>
                <w:bCs/>
                <w:color w:val="FFFFFF"/>
                <w:sz w:val="22"/>
                <w:szCs w:val="22"/>
              </w:rPr>
              <w:t xml:space="preserve">РАЗДЕЛ 6: Меры при случайном высвобождении</w:t>
            </w:r>
          </w:p>
        </w:tc>
      </w:tr>
    </w:tbl>
    <w:p>
      <w:pPr>
        <w:spacing w:after="80"/>
      </w:pPr>
    </w:p>
    <w:p>
      <w:pPr>
        <w:spacing w:after="60" w:before="120"/>
      </w:pPr>
      <w:r>
        <w:rPr>
          <w:b/>
          <w:bCs/>
          <w:sz w:val="21"/>
          <w:szCs w:val="21"/>
        </w:rPr>
        <w:t xml:space="preserve">6.1 Меры предосторожности для персонала, средства индивидуальной защиты и порядок действий в чрезвычайной ситуации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Не требуется.</w:t>
      </w:r>
    </w:p>
    <w:p>
      <w:pPr>
        <w:spacing w:after="60" w:before="120"/>
      </w:pPr>
      <w:r>
        <w:rPr>
          <w:b/>
          <w:bCs/>
          <w:sz w:val="21"/>
          <w:szCs w:val="21"/>
        </w:rPr>
        <w:t xml:space="preserve">6.2 Меры предосторожности для окружающей среды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Не допускать попадания в канализацию/поверхностные или грунтовые воды.</w:t>
      </w:r>
    </w:p>
    <w:p>
      <w:pPr>
        <w:spacing w:after="60" w:before="120"/>
      </w:pPr>
      <w:r>
        <w:rPr>
          <w:b/>
          <w:bCs/>
          <w:sz w:val="21"/>
          <w:szCs w:val="21"/>
        </w:rPr>
        <w:t xml:space="preserve">6.3 Методы и материалы для локализации и очистки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Впитать жидкосвязывающим материалом (песок, диатомит, кислотосвязывающие вещества, универсальные связующие, опилки).</w:t>
      </w:r>
    </w:p>
    <w:p>
      <w:pPr>
        <w:spacing w:after="60" w:before="120"/>
      </w:pPr>
      <w:r>
        <w:rPr>
          <w:b/>
          <w:bCs/>
          <w:sz w:val="21"/>
          <w:szCs w:val="21"/>
        </w:rPr>
        <w:t xml:space="preserve">6.4 Ссылка на другие разделы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См. раздел 7 для получения информации о безопасном обращении.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См. раздел 8 для получения информации о средствах индивидуальной защиты.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См. раздел 13 для получения информации об утилизации.</w:t>
      </w:r>
    </w:p>
    <w:p>
      <w:pPr>
        <w:spacing w:after="160"/>
      </w:pPr>
    </w:p>
    <w:tbl>
      <w:tblPr>
        <w:tblW w:type="dxa" w:w="9638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9638"/>
      </w:tblGrid>
      <w:tr>
        <w:tc>
          <w:tcPr>
            <w:tcW w:type="dxa" w:w="9638"/>
            <w:shd w:fill="1F3864" w:color="auto" w:val="clear"/>
            <w:tcMar>
              <w:top w:type="dxa" w:w="100"/>
              <w:left w:type="dxa" w:w="120"/>
              <w:bottom w:type="dxa" w:w="100"/>
              <w:right w:type="dxa" w:w="120"/>
            </w:tcMar>
          </w:tcPr>
          <w:p>
            <w:r>
              <w:rPr>
                <w:b/>
                <w:bCs/>
                <w:color w:val="FFFFFF"/>
                <w:sz w:val="22"/>
                <w:szCs w:val="22"/>
              </w:rPr>
              <w:t xml:space="preserve">РАЗДЕЛ 7: Обращение и хранение</w:t>
            </w:r>
          </w:p>
        </w:tc>
      </w:tr>
    </w:tbl>
    <w:p>
      <w:pPr>
        <w:spacing w:after="80"/>
      </w:pPr>
    </w:p>
    <w:p>
      <w:pPr>
        <w:spacing w:after="60" w:before="120"/>
      </w:pPr>
      <w:r>
        <w:rPr>
          <w:b/>
          <w:bCs/>
          <w:sz w:val="21"/>
          <w:szCs w:val="21"/>
        </w:rPr>
        <w:t xml:space="preserve">7.1 Меры предосторожности для безопасного обращения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Избегать контакта с глазами и кожей.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Держать вдали от пищевых продуктов, напитков и корма.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Мыть руки перед перерывами и по окончании работы.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Информация о пожаро- и взрывобезопасности: Особых мер не требуется.</w:t>
      </w:r>
    </w:p>
    <w:p>
      <w:pPr>
        <w:spacing w:after="60" w:before="120"/>
      </w:pPr>
      <w:r>
        <w:rPr>
          <w:b/>
          <w:bCs/>
          <w:sz w:val="21"/>
          <w:szCs w:val="21"/>
        </w:rPr>
        <w:t xml:space="preserve">7.2 Условия безопасного хранения, включая любую несовместимость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Хранение: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Требования к складским помещениям и ёмкостям: Особых требований нет.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Информация о совместном хранении: Не требуется.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Дополнительная информация об условиях хранения: Защищать от мороза.</w:t>
      </w:r>
    </w:p>
    <w:p>
      <w:pPr>
        <w:spacing w:after="60" w:before="120"/>
      </w:pPr>
      <w:r>
        <w:rPr>
          <w:b/>
          <w:bCs/>
          <w:sz w:val="21"/>
          <w:szCs w:val="21"/>
        </w:rPr>
        <w:t xml:space="preserve">7.3 Специфическое конечное применение (я)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Дополнительная значимая информация отсутствует.</w:t>
      </w:r>
    </w:p>
    <w:p>
      <w:pPr>
        <w:spacing w:after="160"/>
      </w:pPr>
    </w:p>
    <w:tbl>
      <w:tblPr>
        <w:tblW w:type="dxa" w:w="9638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9638"/>
      </w:tblGrid>
      <w:tr>
        <w:tc>
          <w:tcPr>
            <w:tcW w:type="dxa" w:w="9638"/>
            <w:shd w:fill="1F3864" w:color="auto" w:val="clear"/>
            <w:tcMar>
              <w:top w:type="dxa" w:w="100"/>
              <w:left w:type="dxa" w:w="120"/>
              <w:bottom w:type="dxa" w:w="100"/>
              <w:right w:type="dxa" w:w="120"/>
            </w:tcMar>
          </w:tcPr>
          <w:p>
            <w:r>
              <w:rPr>
                <w:b/>
                <w:bCs/>
                <w:color w:val="FFFFFF"/>
                <w:sz w:val="22"/>
                <w:szCs w:val="22"/>
              </w:rPr>
              <w:t xml:space="preserve">РАЗДЕЛ 8: Контроль воздействия / средства индивидуальной защиты</w:t>
            </w:r>
          </w:p>
        </w:tc>
      </w:tr>
    </w:tbl>
    <w:p>
      <w:pPr>
        <w:spacing w:after="80"/>
      </w:pPr>
    </w:p>
    <w:p>
      <w:pPr>
        <w:spacing w:after="60" w:before="120"/>
      </w:pPr>
      <w:r>
        <w:rPr>
          <w:b/>
          <w:bCs/>
          <w:sz w:val="21"/>
          <w:szCs w:val="21"/>
        </w:rPr>
        <w:t xml:space="preserve">8.1 Параметры контроля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Компоненты с предельными значениями, подлежащими контролю на рабочем месте: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CAS: 64-17-5 Этанол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WEL Долгосрочное значение: 1920 мг/м³, 1000 ppm</w:t>
      </w:r>
    </w:p>
    <w:p>
      <w:pPr>
        <w:spacing w:after="60" w:before="120"/>
      </w:pPr>
      <w:r>
        <w:rPr>
          <w:b/>
          <w:bCs/>
          <w:sz w:val="21"/>
          <w:szCs w:val="21"/>
        </w:rPr>
        <w:t xml:space="preserve">8.2 Контроль воздействия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Соответствующие технические средства контроля: Дополнительных данных нет; см. раздел 7.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Индивидуальные меры защиты, такие как средства индивидуальной защиты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Общие защитные и гигиенические меры: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Обычные меры предосторожности при обращении с химическими веществами должны соблюдаться.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Избегать контакта с глазами и кожей.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Держать вдали от пищевых продуктов, напитков и корма.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Мыть руки перед перерывами и по окончании работы.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Защита органов дыхания: Не требуется.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Защита рук: Перчатки из ПВХ или ПЭ (EN 374)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Материал перчаток: Перчатки из ПВХ или ПЭ (EN 374)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Время проникновения материала перчаток: Точное время прорыва должно быть определено производителем защитных перчаток и соблюдено.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Защита глаз/лица: Защитные очки (EN 166)</w:t>
      </w:r>
    </w:p>
    <w:p>
      <w:pPr>
        <w:spacing w:after="160"/>
      </w:pPr>
    </w:p>
    <w:tbl>
      <w:tblPr>
        <w:tblW w:type="dxa" w:w="9638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9638"/>
      </w:tblGrid>
      <w:tr>
        <w:tc>
          <w:tcPr>
            <w:tcW w:type="dxa" w:w="9638"/>
            <w:shd w:fill="1F3864" w:color="auto" w:val="clear"/>
            <w:tcMar>
              <w:top w:type="dxa" w:w="100"/>
              <w:left w:type="dxa" w:w="120"/>
              <w:bottom w:type="dxa" w:w="100"/>
              <w:right w:type="dxa" w:w="120"/>
            </w:tcMar>
          </w:tcPr>
          <w:p>
            <w:r>
              <w:rPr>
                <w:b/>
                <w:bCs/>
                <w:color w:val="FFFFFF"/>
                <w:sz w:val="22"/>
                <w:szCs w:val="22"/>
              </w:rPr>
              <w:t xml:space="preserve">РАЗДЕЛ 9: Физические и химические свойства</w:t>
            </w:r>
          </w:p>
        </w:tc>
      </w:tr>
    </w:tbl>
    <w:p>
      <w:pPr>
        <w:spacing w:after="80"/>
      </w:pPr>
    </w:p>
    <w:p>
      <w:pPr>
        <w:spacing w:after="60" w:before="120"/>
      </w:pPr>
      <w:r>
        <w:rPr>
          <w:b/>
          <w:bCs/>
          <w:sz w:val="21"/>
          <w:szCs w:val="21"/>
        </w:rPr>
        <w:t xml:space="preserve">9.1 Информация об основных физических и химических свойствах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Общая информация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Физическое состояние: Жидкость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Цвет: Жёлто-непрозрачный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Запах: Слабый, характерный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Порог восприятия запаха: Не определено.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Точка плавления/точка замерзания: Не определено.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Точка кипения или начальная точка кипения и диапазон кипения: Не определено.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Воспламеняемость: Не применимо.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Нижний и верхний пределы взрываемости — не определены.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Температура вспышки: &gt;100 °C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Температура воспламенения: &gt;200 °C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Температура разложения: Не определена.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pH при 20 °C: 8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Вязкость: Кинематическая не определена; динамическая при 20 °C: 22 мПа·с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Растворимость. Вода: полностью смешивается.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Коэффициент распределения н-октанол/вода (логарифмическое значение): Не определён.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Давление паров: Не определено.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Плотность при 20 °C: 1.04 г/см³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Относительная плотность: Не определена.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Плотность паров: Не определена.</w:t>
      </w:r>
    </w:p>
    <w:p>
      <w:pPr>
        <w:spacing w:after="60" w:before="120"/>
      </w:pPr>
      <w:r>
        <w:rPr>
          <w:b/>
          <w:bCs/>
          <w:sz w:val="21"/>
          <w:szCs w:val="21"/>
        </w:rPr>
        <w:t xml:space="preserve">9.2 Прочая информация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Внешний вид: Форма: Жидкость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Температура самовоспламенения: Продукт не является самовоспламеняющимся.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Взрывоопасные свойства: Продукт не представляет взрывоопасности.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Скорость испарения: Не определена.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Информация в отношении классов физической опасности (взрывчатые вещества, легковоспламеняющиеся газы, аэрозоли, окисляющие газы, газы под давлением, легковоспламеняющиеся жидкости и твёрдые вещества, саморазлагающиеся вещества, пирофорные жидкости и твёрдые вещества, самонагревающиеся вещества, вещества, выделяющие легковоспламеняющиеся газы при контакте с водой, окисляющие жидкости и твёрдые вещества, органические пероксиды, коррозионное воздействие на металлы, десенсибилизированные взрывчатые вещества): отсутствует.</w:t>
      </w:r>
    </w:p>
    <w:p>
      <w:pPr>
        <w:spacing w:after="160"/>
      </w:pPr>
    </w:p>
    <w:tbl>
      <w:tblPr>
        <w:tblW w:type="dxa" w:w="9638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9638"/>
      </w:tblGrid>
      <w:tr>
        <w:tc>
          <w:tcPr>
            <w:tcW w:type="dxa" w:w="9638"/>
            <w:shd w:fill="1F3864" w:color="auto" w:val="clear"/>
            <w:tcMar>
              <w:top w:type="dxa" w:w="100"/>
              <w:left w:type="dxa" w:w="120"/>
              <w:bottom w:type="dxa" w:w="100"/>
              <w:right w:type="dxa" w:w="120"/>
            </w:tcMar>
          </w:tcPr>
          <w:p>
            <w:r>
              <w:rPr>
                <w:b/>
                <w:bCs/>
                <w:color w:val="FFFFFF"/>
                <w:sz w:val="22"/>
                <w:szCs w:val="22"/>
              </w:rPr>
              <w:t xml:space="preserve">РАЗДЕЛ 10: Стабильность и реакционная способность</w:t>
            </w:r>
          </w:p>
        </w:tc>
      </w:tr>
    </w:tbl>
    <w:p>
      <w:pPr>
        <w:spacing w:after="80"/>
      </w:pPr>
    </w:p>
    <w:p>
      <w:pPr>
        <w:spacing w:after="60" w:before="120"/>
      </w:pPr>
      <w:r>
        <w:rPr>
          <w:b/>
          <w:bCs/>
          <w:sz w:val="21"/>
          <w:szCs w:val="21"/>
        </w:rPr>
        <w:t xml:space="preserve">10.1 Реакционная способность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Дополнительная значимая информация отсутствует.</w:t>
      </w:r>
    </w:p>
    <w:p>
      <w:pPr>
        <w:spacing w:after="60" w:before="120"/>
      </w:pPr>
      <w:r>
        <w:rPr>
          <w:b/>
          <w:bCs/>
          <w:sz w:val="21"/>
          <w:szCs w:val="21"/>
        </w:rPr>
        <w:t xml:space="preserve">10.2 Химическая стабильность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Термическое разложение / условия, которых следует избегать: Разложение не происходит при использовании по назначению.</w:t>
      </w:r>
    </w:p>
    <w:p>
      <w:pPr>
        <w:spacing w:after="60" w:before="120"/>
      </w:pPr>
      <w:r>
        <w:rPr>
          <w:b/>
          <w:bCs/>
          <w:sz w:val="21"/>
          <w:szCs w:val="21"/>
        </w:rPr>
        <w:t xml:space="preserve">10.3 Возможность опасных реакций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Опасные реакции неизвестны.</w:t>
      </w:r>
    </w:p>
    <w:p>
      <w:pPr>
        <w:spacing w:after="60" w:before="120"/>
      </w:pPr>
      <w:r>
        <w:rPr>
          <w:b/>
          <w:bCs/>
          <w:sz w:val="21"/>
          <w:szCs w:val="21"/>
        </w:rPr>
        <w:t xml:space="preserve">10.4 Условия, которых следует избегать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Дополнительная значимая информация отсутствует.</w:t>
      </w:r>
    </w:p>
    <w:p>
      <w:pPr>
        <w:spacing w:after="60" w:before="120"/>
      </w:pPr>
      <w:r>
        <w:rPr>
          <w:b/>
          <w:bCs/>
          <w:sz w:val="21"/>
          <w:szCs w:val="21"/>
        </w:rPr>
        <w:t xml:space="preserve">10.5 Несовместимые материалы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Дополнительная значимая информация отсутствует.</w:t>
      </w:r>
    </w:p>
    <w:p>
      <w:pPr>
        <w:spacing w:after="60" w:before="120"/>
      </w:pPr>
      <w:r>
        <w:rPr>
          <w:b/>
          <w:bCs/>
          <w:sz w:val="21"/>
          <w:szCs w:val="21"/>
        </w:rPr>
        <w:t xml:space="preserve">10.6 Опасные продукты разложения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Опасные продукты разложения неизвестны.</w:t>
      </w:r>
    </w:p>
    <w:p>
      <w:pPr>
        <w:spacing w:after="160"/>
      </w:pPr>
    </w:p>
    <w:tbl>
      <w:tblPr>
        <w:tblW w:type="dxa" w:w="9638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9638"/>
      </w:tblGrid>
      <w:tr>
        <w:tc>
          <w:tcPr>
            <w:tcW w:type="dxa" w:w="9638"/>
            <w:shd w:fill="1F3864" w:color="auto" w:val="clear"/>
            <w:tcMar>
              <w:top w:type="dxa" w:w="100"/>
              <w:left w:type="dxa" w:w="120"/>
              <w:bottom w:type="dxa" w:w="100"/>
              <w:right w:type="dxa" w:w="120"/>
            </w:tcMar>
          </w:tcPr>
          <w:p>
            <w:r>
              <w:rPr>
                <w:b/>
                <w:bCs/>
                <w:color w:val="FFFFFF"/>
                <w:sz w:val="22"/>
                <w:szCs w:val="22"/>
              </w:rPr>
              <w:t xml:space="preserve">РАЗДЕЛ 11: Токсикологическая информация</w:t>
            </w:r>
          </w:p>
        </w:tc>
      </w:tr>
    </w:tbl>
    <w:p>
      <w:pPr>
        <w:spacing w:after="80"/>
      </w:pPr>
    </w:p>
    <w:p>
      <w:pPr>
        <w:spacing w:after="60" w:before="120"/>
      </w:pPr>
      <w:r>
        <w:rPr>
          <w:b/>
          <w:bCs/>
          <w:sz w:val="21"/>
          <w:szCs w:val="21"/>
        </w:rPr>
        <w:t xml:space="preserve">11.1 Информация о классах опасности, определённых в Регламенте (ЕС) № 1272/2008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Острая токсичность: На основании имеющихся данных критерии классификации не соблюдены.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Раздражение/коррозия кожи: На основании имеющихся данных критерии классификации не соблюдены.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Серьёзное повреждение/раздражение глаз: На основании имеющихся данных критерии классификации не соблюдены.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Сенсибилизация дыхательных путей или кожи: На основании имеющихся данных критерии классификации не соблюдены.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Мутагенность зародышевых клеток: На основании имеющихся данных критерии классификации не соблюдены.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Канцерогенность: На основании имеющихся данных критерии классификации не соблюдены.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Репродуктивная токсичность: На основании имеющихся данных критерии классификации не соблюдены.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Специфическая токсичность на органы-мишени (однократное воздействие): На основании имеющихся данных критерии классификации не соблюдены.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Специфическая токсичность на органы-мишени (повторное воздействие): На основании имеющихся данных критерии классификации не соблюдены.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Опасность при аспирации: На основании имеющихся данных критерии классификации не соблюдены.</w:t>
      </w:r>
    </w:p>
    <w:p>
      <w:pPr>
        <w:spacing w:after="60" w:before="120"/>
      </w:pPr>
      <w:r>
        <w:rPr>
          <w:b/>
          <w:bCs/>
          <w:sz w:val="21"/>
          <w:szCs w:val="21"/>
        </w:rPr>
        <w:t xml:space="preserve">11.2 Информация о прочих опасностях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Свойства эндокринных разрушителей: Ни один из компонентов не включён в перечень.</w:t>
      </w:r>
    </w:p>
    <w:p>
      <w:pPr>
        <w:spacing w:after="160"/>
      </w:pPr>
    </w:p>
    <w:tbl>
      <w:tblPr>
        <w:tblW w:type="dxa" w:w="9638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9638"/>
      </w:tblGrid>
      <w:tr>
        <w:tc>
          <w:tcPr>
            <w:tcW w:type="dxa" w:w="9638"/>
            <w:shd w:fill="1F3864" w:color="auto" w:val="clear"/>
            <w:tcMar>
              <w:top w:type="dxa" w:w="100"/>
              <w:left w:type="dxa" w:w="120"/>
              <w:bottom w:type="dxa" w:w="100"/>
              <w:right w:type="dxa" w:w="120"/>
            </w:tcMar>
          </w:tcPr>
          <w:p>
            <w:r>
              <w:rPr>
                <w:b/>
                <w:bCs/>
                <w:color w:val="FFFFFF"/>
                <w:sz w:val="22"/>
                <w:szCs w:val="22"/>
              </w:rPr>
              <w:t xml:space="preserve">РАЗДЕЛ 12: Экологическая информация</w:t>
            </w:r>
          </w:p>
        </w:tc>
      </w:tr>
    </w:tbl>
    <w:p>
      <w:pPr>
        <w:spacing w:after="80"/>
      </w:pPr>
    </w:p>
    <w:p>
      <w:pPr>
        <w:spacing w:after="60" w:before="120"/>
      </w:pPr>
      <w:r>
        <w:rPr>
          <w:b/>
          <w:bCs/>
          <w:sz w:val="21"/>
          <w:szCs w:val="21"/>
        </w:rPr>
        <w:t xml:space="preserve">12.1 Токсичность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Водная токсичность: Дополнительная значимая информация отсутствует.</w:t>
      </w:r>
    </w:p>
    <w:p>
      <w:pPr>
        <w:spacing w:after="60" w:before="120"/>
      </w:pPr>
      <w:r>
        <w:rPr>
          <w:b/>
          <w:bCs/>
          <w:sz w:val="21"/>
          <w:szCs w:val="21"/>
        </w:rPr>
        <w:t xml:space="preserve">12.2 Стойкость и способность к разложению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Дополнительная значимая информация отсутствует.</w:t>
      </w:r>
    </w:p>
    <w:p>
      <w:pPr>
        <w:spacing w:after="60" w:before="120"/>
      </w:pPr>
      <w:r>
        <w:rPr>
          <w:b/>
          <w:bCs/>
          <w:sz w:val="21"/>
          <w:szCs w:val="21"/>
        </w:rPr>
        <w:t xml:space="preserve">12.3 Биоаккумулятивный потенциал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Дополнительная значимая информация отсутствует.</w:t>
      </w:r>
    </w:p>
    <w:p>
      <w:pPr>
        <w:spacing w:after="60" w:before="120"/>
      </w:pPr>
      <w:r>
        <w:rPr>
          <w:b/>
          <w:bCs/>
          <w:sz w:val="21"/>
          <w:szCs w:val="21"/>
        </w:rPr>
        <w:t xml:space="preserve">12.4 Подвижность в почве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Дополнительная значимая информация отсутствует.</w:t>
      </w:r>
    </w:p>
    <w:p>
      <w:pPr>
        <w:spacing w:after="60" w:before="120"/>
      </w:pPr>
      <w:r>
        <w:rPr>
          <w:b/>
          <w:bCs/>
          <w:sz w:val="21"/>
          <w:szCs w:val="21"/>
        </w:rPr>
        <w:t xml:space="preserve">12.5 Результаты оценки на СБТ и оСБсБ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СБТ: Не применимо.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оСБсБ: Не применимо.</w:t>
      </w:r>
    </w:p>
    <w:p>
      <w:pPr>
        <w:spacing w:after="60" w:before="120"/>
      </w:pPr>
      <w:r>
        <w:rPr>
          <w:b/>
          <w:bCs/>
          <w:sz w:val="21"/>
          <w:szCs w:val="21"/>
        </w:rPr>
        <w:t xml:space="preserve">12.6 Свойства эндокринных разрушителей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Продукт не содержит веществ со свойствами эндокринных разрушителей.</w:t>
      </w:r>
    </w:p>
    <w:p>
      <w:pPr>
        <w:spacing w:after="60" w:before="120"/>
      </w:pPr>
      <w:r>
        <w:rPr>
          <w:b/>
          <w:bCs/>
          <w:sz w:val="21"/>
          <w:szCs w:val="21"/>
        </w:rPr>
        <w:t xml:space="preserve">12.7 Прочие неблагоприятные эффекты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Общие указания: Не допускать попадания продукта в грунтовые воды, водотоки или канализационную систему.</w:t>
      </w:r>
    </w:p>
    <w:p>
      <w:pPr>
        <w:spacing w:after="160"/>
      </w:pPr>
    </w:p>
    <w:tbl>
      <w:tblPr>
        <w:tblW w:type="dxa" w:w="9638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9638"/>
      </w:tblGrid>
      <w:tr>
        <w:tc>
          <w:tcPr>
            <w:tcW w:type="dxa" w:w="9638"/>
            <w:shd w:fill="1F3864" w:color="auto" w:val="clear"/>
            <w:tcMar>
              <w:top w:type="dxa" w:w="100"/>
              <w:left w:type="dxa" w:w="120"/>
              <w:bottom w:type="dxa" w:w="100"/>
              <w:right w:type="dxa" w:w="120"/>
            </w:tcMar>
          </w:tcPr>
          <w:p>
            <w:r>
              <w:rPr>
                <w:b/>
                <w:bCs/>
                <w:color w:val="FFFFFF"/>
                <w:sz w:val="22"/>
                <w:szCs w:val="22"/>
              </w:rPr>
              <w:t xml:space="preserve">РАЗДЕЛ 13: Рекомендации по утилизации</w:t>
            </w:r>
          </w:p>
        </w:tc>
      </w:tr>
    </w:tbl>
    <w:p>
      <w:pPr>
        <w:spacing w:after="80"/>
      </w:pPr>
    </w:p>
    <w:p>
      <w:pPr>
        <w:spacing w:after="60" w:before="120"/>
      </w:pPr>
      <w:r>
        <w:rPr>
          <w:b/>
          <w:bCs/>
          <w:sz w:val="21"/>
          <w:szCs w:val="21"/>
        </w:rPr>
        <w:t xml:space="preserve">13.1 Методы обработки отходов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Рекомендация: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Не допускать попадания продукта в канализационную систему.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Небольшие количества впитать жидкосвязывающим материалом (песок, диатомит, кислотосвязывающие вещества, универсальные связующие, опилки), дать затвердеть, затем утилизировать как строительные отходы.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Утилизацию больших количеств проводить в соответствии с требованиями местных органов власти.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Загрязнённая упаковка: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Рекомендация: Тщательно опустошить загрязнённую упаковку. После надлежащей и тщательной очистки может быть переработана.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Рекомендуемые чистящие средства: Вода, при необходимости в сочетании с чистящими средствами.</w:t>
      </w:r>
    </w:p>
    <w:p>
      <w:pPr>
        <w:spacing w:after="160"/>
      </w:pPr>
    </w:p>
    <w:tbl>
      <w:tblPr>
        <w:tblW w:type="dxa" w:w="9638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9638"/>
      </w:tblGrid>
      <w:tr>
        <w:tc>
          <w:tcPr>
            <w:tcW w:type="dxa" w:w="9638"/>
            <w:shd w:fill="1F3864" w:color="auto" w:val="clear"/>
            <w:tcMar>
              <w:top w:type="dxa" w:w="100"/>
              <w:left w:type="dxa" w:w="120"/>
              <w:bottom w:type="dxa" w:w="100"/>
              <w:right w:type="dxa" w:w="120"/>
            </w:tcMar>
          </w:tcPr>
          <w:p>
            <w:r>
              <w:rPr>
                <w:b/>
                <w:bCs/>
                <w:color w:val="FFFFFF"/>
                <w:sz w:val="22"/>
                <w:szCs w:val="22"/>
              </w:rPr>
              <w:t xml:space="preserve">РАЗДЕЛ 14: Транспортная информация</w:t>
            </w:r>
          </w:p>
        </w:tc>
      </w:tr>
    </w:tbl>
    <w:p>
      <w:pPr>
        <w:spacing w:after="80"/>
      </w:pPr>
    </w:p>
    <w:p>
      <w:pPr>
        <w:spacing w:after="60" w:before="120"/>
      </w:pPr>
      <w:r>
        <w:rPr>
          <w:b/>
          <w:bCs/>
          <w:sz w:val="21"/>
          <w:szCs w:val="21"/>
        </w:rPr>
        <w:t xml:space="preserve">14.1 Номер ООН или идентификационный номер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ADR, ADN, IMDG, IATA: отсутствует</w:t>
      </w:r>
    </w:p>
    <w:p>
      <w:pPr>
        <w:spacing w:after="60" w:before="120"/>
      </w:pPr>
      <w:r>
        <w:rPr>
          <w:b/>
          <w:bCs/>
          <w:sz w:val="21"/>
          <w:szCs w:val="21"/>
        </w:rPr>
        <w:t xml:space="preserve">14.2 Надлежащее транспортное наименование ООН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ADR, ADN, IMDG, IATA: отсутствует</w:t>
      </w:r>
    </w:p>
    <w:p>
      <w:pPr>
        <w:spacing w:after="60" w:before="120"/>
      </w:pPr>
      <w:r>
        <w:rPr>
          <w:b/>
          <w:bCs/>
          <w:sz w:val="21"/>
          <w:szCs w:val="21"/>
        </w:rPr>
        <w:t xml:space="preserve">14.3 Класс(ы) транспортной опасности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ADR, ADN, IMDG, IATA — Класс: отсутствует</w:t>
      </w:r>
    </w:p>
    <w:p>
      <w:pPr>
        <w:spacing w:after="60" w:before="120"/>
      </w:pPr>
      <w:r>
        <w:rPr>
          <w:b/>
          <w:bCs/>
          <w:sz w:val="21"/>
          <w:szCs w:val="21"/>
        </w:rPr>
        <w:t xml:space="preserve">14.4 Группа упаковки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ADR, IMDG, IATA: отсутствует</w:t>
      </w:r>
    </w:p>
    <w:p>
      <w:pPr>
        <w:spacing w:after="60" w:before="120"/>
      </w:pPr>
      <w:r>
        <w:rPr>
          <w:b/>
          <w:bCs/>
          <w:sz w:val="21"/>
          <w:szCs w:val="21"/>
        </w:rPr>
        <w:t xml:space="preserve">14.5 Опасность для окружающей среды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Загрязнитель морской среды: Нет</w:t>
      </w:r>
    </w:p>
    <w:p>
      <w:pPr>
        <w:spacing w:after="60" w:before="120"/>
      </w:pPr>
      <w:r>
        <w:rPr>
          <w:b/>
          <w:bCs/>
          <w:sz w:val="21"/>
          <w:szCs w:val="21"/>
        </w:rPr>
        <w:t xml:space="preserve">14.6 Особые меры предосторожности для пользователя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Не применимо.</w:t>
      </w:r>
    </w:p>
    <w:p>
      <w:pPr>
        <w:spacing w:after="60" w:before="120"/>
      </w:pPr>
      <w:r>
        <w:rPr>
          <w:b/>
          <w:bCs/>
          <w:sz w:val="21"/>
          <w:szCs w:val="21"/>
        </w:rPr>
        <w:t xml:space="preserve">14.7 Морская перевозка навалом согласно документам ИМО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Не применимо.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Транспорт/Дополнительная информация: Не является опасным согласно вышеуказанным характеристикам.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«UN Model Regulation»: отсутствует</w:t>
      </w:r>
    </w:p>
    <w:p>
      <w:pPr>
        <w:spacing w:after="160"/>
      </w:pPr>
    </w:p>
    <w:tbl>
      <w:tblPr>
        <w:tblW w:type="dxa" w:w="9638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9638"/>
      </w:tblGrid>
      <w:tr>
        <w:tc>
          <w:tcPr>
            <w:tcW w:type="dxa" w:w="9638"/>
            <w:shd w:fill="1F3864" w:color="auto" w:val="clear"/>
            <w:tcMar>
              <w:top w:type="dxa" w:w="100"/>
              <w:left w:type="dxa" w:w="120"/>
              <w:bottom w:type="dxa" w:w="100"/>
              <w:right w:type="dxa" w:w="120"/>
            </w:tcMar>
          </w:tcPr>
          <w:p>
            <w:r>
              <w:rPr>
                <w:b/>
                <w:bCs/>
                <w:color w:val="FFFFFF"/>
                <w:sz w:val="22"/>
                <w:szCs w:val="22"/>
              </w:rPr>
              <w:t xml:space="preserve">РАЗДЕЛ 15: Нормативная информация</w:t>
            </w:r>
          </w:p>
        </w:tc>
      </w:tr>
    </w:tbl>
    <w:p>
      <w:pPr>
        <w:spacing w:after="80"/>
      </w:pPr>
    </w:p>
    <w:p>
      <w:pPr>
        <w:spacing w:after="60" w:before="120"/>
      </w:pPr>
      <w:r>
        <w:rPr>
          <w:b/>
          <w:bCs/>
          <w:sz w:val="21"/>
          <w:szCs w:val="21"/>
        </w:rPr>
        <w:t xml:space="preserve">15.1 Правила безопасности, охраны здоровья и окружающей среды/законодательство, специфичное для вещества или смеси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Директива 2012/18/EU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Поименованные опасные вещества — Приложение I: Ни один из компонентов не включён в перечень.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РЕГЛАМЕНТ (ЕС) 2019/1148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Регламент (ЕС) № 273/2004 о прекурсорах наркотических средств: Ни один из компонентов не включён в перечень.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Регламент (ЕС) № 111/2005, устанавливающий правила мониторинга торговли прекурсорами наркотических средств между Сообществом и третьими странами: Ни один из компонентов не включён в перечень.</w:t>
      </w:r>
    </w:p>
    <w:p>
      <w:pPr>
        <w:spacing w:after="60" w:before="120"/>
      </w:pPr>
      <w:r>
        <w:rPr>
          <w:b/>
          <w:bCs/>
          <w:sz w:val="21"/>
          <w:szCs w:val="21"/>
        </w:rPr>
        <w:t xml:space="preserve">15.2 Оценка химической безопасности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Оценка химической безопасности не проводилась.</w:t>
      </w:r>
    </w:p>
    <w:p>
      <w:pPr>
        <w:spacing w:after="160"/>
      </w:pPr>
    </w:p>
    <w:tbl>
      <w:tblPr>
        <w:tblW w:type="dxa" w:w="9638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9638"/>
      </w:tblGrid>
      <w:tr>
        <w:tc>
          <w:tcPr>
            <w:tcW w:type="dxa" w:w="9638"/>
            <w:shd w:fill="1F3864" w:color="auto" w:val="clear"/>
            <w:tcMar>
              <w:top w:type="dxa" w:w="100"/>
              <w:left w:type="dxa" w:w="120"/>
              <w:bottom w:type="dxa" w:w="100"/>
              <w:right w:type="dxa" w:w="120"/>
            </w:tcMar>
          </w:tcPr>
          <w:p>
            <w:r>
              <w:rPr>
                <w:b/>
                <w:bCs/>
                <w:color w:val="FFFFFF"/>
                <w:sz w:val="22"/>
                <w:szCs w:val="22"/>
              </w:rPr>
              <w:t xml:space="preserve">РАЗДЕЛ 16: Прочая информация</w:t>
            </w:r>
          </w:p>
        </w:tc>
      </w:tr>
    </w:tbl>
    <w:p>
      <w:pPr>
        <w:spacing w:after="80"/>
      </w:pP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Данная информация основана на наших текущих знаниях. Однако она не является гарантией каких-либо конкретных характеристик продукта и не устанавливает юридически действительных договорных отношений.</w:t>
      </w:r>
    </w:p>
    <w:p>
      <w:pPr>
        <w:spacing w:after="60" w:before="120"/>
      </w:pPr>
      <w:r>
        <w:rPr>
          <w:b/>
          <w:bCs/>
          <w:sz w:val="21"/>
          <w:szCs w:val="21"/>
        </w:rPr>
        <w:t xml:space="preserve">Соответствующие фразы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H225 Легковоспламеняющаяся жидкость и пар.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H301 Токсично при проглатывании.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H302 Вредно при проглатывании.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H310 Смертельно при контакте с кожей.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H314 Вызывает серьёзные ожоги кожи и повреждения глаз.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H315 Вызывает раздражение кожи.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H317 Может вызывать аллергическую кожную реакцию.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H318 Вызывает серьёзные повреждения глаз.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H330 Смертельно при вдыхании.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H400 Очень токсично для водных организмов.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H410 Очень токсично для водных организмов с долгосрочными последствиями.</w:t>
      </w:r>
    </w:p>
    <w:p>
      <w:pPr>
        <w:pBdr>
          <w:left w:val="single" w:color="1F3864" w:sz="18" w:space="8"/>
        </w:pBdr>
        <w:spacing w:after="100" w:before="100"/>
        <w:ind w:left="120"/>
      </w:pPr>
      <w:r>
        <w:rPr>
          <w:i/>
          <w:iCs/>
          <w:sz w:val="21"/>
          <w:szCs w:val="21"/>
        </w:rPr>
        <w:t xml:space="preserve">Указанные классы опасности/фразы относятся к чистому веществу-компоненту, а не к готовому продукту в том виде, в котором он продаётся и используется — сам продукт не классифицируется как опасный (см. раздел 2.1).</w:t>
      </w:r>
    </w:p>
    <w:p>
      <w:pPr>
        <w:spacing w:after="60" w:before="120"/>
      </w:pPr>
      <w:r>
        <w:rPr>
          <w:b/>
          <w:bCs/>
          <w:sz w:val="21"/>
          <w:szCs w:val="21"/>
        </w:rPr>
        <w:t xml:space="preserve">Классификация согласно Регламенту (ЕС) № 1272/2008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Классификация смеси в целом основана на расчётном методе с использованием данных о веществах согласно Регламенту (ЕС) № 1272/2008.</w:t>
      </w:r>
    </w:p>
    <w:p>
      <w:pPr>
        <w:spacing w:after="60" w:before="120"/>
      </w:pPr>
      <w:r>
        <w:rPr>
          <w:b/>
          <w:bCs/>
          <w:sz w:val="21"/>
          <w:szCs w:val="21"/>
        </w:rPr>
        <w:t xml:space="preserve">Контакт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Dr. Kötte, тел. +49 (0)931 27964-25, эл. почта: msds.info@uzin-utz.com</w:t>
      </w:r>
    </w:p>
    <w:p>
      <w:pPr>
        <w:spacing w:after="60" w:before="120"/>
      </w:pPr>
      <w:r>
        <w:rPr>
          <w:b/>
          <w:bCs/>
          <w:sz w:val="21"/>
          <w:szCs w:val="21"/>
        </w:rPr>
        <w:t xml:space="preserve">Сокращения и аббревиатуры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ADR — Европейское соглашение о международной дорожной перевозке опасных грузов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IMDG — Международный кодекс морской перевозки опасных грузов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IATA — Международная ассоциация воздушного транспорта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GHS — Согласованная на глобальном уровне система классификации и маркировки химических веществ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EINECS — Европейский перечень существующих коммерческих химических веществ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ELINCS — Европейский список зарегистрированных химических веществ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CAS — Chemical Abstracts Service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PBT / СБТ — стойкое, биоаккумулятивное и токсичное вещество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vPvB / оСБсБ — очень стойкое и очень биоаккумулятивное вещество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Flam. Liq. 2 — легковоспламеняющиеся жидкости, категория 2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Acute Tox. 3 / 4 / 2 — острая токсичность, категория 3 / 4 / 2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Skin Corr. 1C — разъедание/раздражение кожи, категория 1C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Skin Irrit. 2 — разъедание/раздражение кожи, категория 2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Eye Dam. 1 — серьёзное повреждение/раздражение глаз, категория 1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Skin Sens. 1 / 1A — сенсибилизация кожи, категория 1 / 1A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Aquatic Acute 1 — опасность для водной среды - острая, категория 1</w:t>
      </w:r>
    </w:p>
    <w:p>
      <w:pPr>
        <w:spacing w:after="80"/>
      </w:pPr>
      <w:r>
        <w:rPr>
          <w:i w:val="false"/>
          <w:iCs w:val="false"/>
          <w:sz w:val="21"/>
          <w:szCs w:val="21"/>
        </w:rPr>
        <w:t xml:space="preserve">Aquatic Chronic 1 — опасность для водной среды - долгосрочная, категория 1</w:t>
      </w:r>
    </w:p>
    <w:p>
      <w:pPr>
        <w:spacing w:after="80"/>
      </w:pPr>
      <w:r>
        <w:rPr>
          <w:i/>
          <w:iCs/>
          <w:sz w:val="21"/>
          <w:szCs w:val="21"/>
        </w:rPr>
        <w:t xml:space="preserve">* Данные изменены по сравнению с предыдущей версией.</w:t>
      </w:r>
    </w:p>
    <w:p>
      <w:pPr>
        <w:spacing w:after="160"/>
      </w:pPr>
    </w:p>
    <w:sectPr>
      <w:pgSz w:w="11906" w:h="16838" w:orient="portrait"/>
      <w:pgMar w:top="1134" w:right="1134" w:bottom="1134" w:left="1134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2026-07-16T16:32:53.876Z</dcterms:created>
  <dcterms:modified xsi:type="dcterms:W3CDTF">2026-07-16T16:32:53.893Z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