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"/>
        <w:jc w:val="center"/>
      </w:pPr>
      <w:r>
        <w:rPr>
          <w:b/>
          <w:bCs/>
          <w:sz w:val="32"/>
          <w:szCs w:val="32"/>
        </w:rPr>
        <w:t xml:space="preserve">Паспорт безопасности</w:t>
      </w:r>
    </w:p>
    <w:p>
      <w:pPr>
        <w:spacing w:after="120"/>
        <w:jc w:val="center"/>
      </w:pPr>
      <w:r>
        <w:rPr>
          <w:i/>
          <w:iCs/>
          <w:sz w:val="20"/>
          <w:szCs w:val="20"/>
        </w:rPr>
        <w:t xml:space="preserve">согласно 1907/2006/EC, Статья 31</w:t>
      </w:r>
    </w:p>
    <w:p>
      <w:pPr>
        <w:pBdr>
          <w:bottom w:val="single" w:color="000000" w:sz="6" w:space="4"/>
        </w:pBdr>
        <w:spacing w:after="200"/>
        <w:jc w:val="center"/>
      </w:pPr>
      <w:r>
        <w:rPr>
          <w:b/>
          <w:bCs/>
          <w:sz w:val="26"/>
          <w:szCs w:val="26"/>
        </w:rPr>
        <w:t xml:space="preserve">PALL-X KITT</w:t>
      </w: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1.1 Идентификатор продукта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Торговое название: PALL-X KITT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1.2 Соответствующие установленные способы применения вещества или смеси и способы применения, использование которых не рекомендуется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Особых требований нет.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Сектор применения:</w:t>
      </w:r>
    </w:p>
    <w:p>
      <w:pPr>
        <w:spacing w:after="0"/>
        <w:ind w:left="260"/>
      </w:pPr>
      <w:r>
        <w:rPr>
          <w:sz w:val="21"/>
          <w:szCs w:val="21"/>
        </w:rPr>
        <w:t xml:space="preserve">●  </w:t>
      </w:r>
      <w:r>
        <w:rPr>
          <w:sz w:val="21"/>
          <w:szCs w:val="21"/>
        </w:rPr>
        <w:t xml:space="preserve">SU19 Строительные работы</w:t>
      </w:r>
    </w:p>
    <w:p>
      <w:pPr>
        <w:spacing w:after="0"/>
        <w:ind w:left="260"/>
      </w:pPr>
      <w:r>
        <w:rPr>
          <w:sz w:val="21"/>
          <w:szCs w:val="21"/>
        </w:rPr>
        <w:t xml:space="preserve">●  </w:t>
      </w:r>
      <w:r>
        <w:rPr>
          <w:sz w:val="21"/>
          <w:szCs w:val="21"/>
        </w:rPr>
        <w:t xml:space="preserve">SU22 Профессиональное использование: Общественная сфера (администрация, образование, развлечения, услуги, ремесленники)</w:t>
      </w:r>
    </w:p>
    <w:p>
      <w:pPr>
        <w:spacing w:after="0"/>
        <w:ind w:left="260"/>
      </w:pPr>
      <w:r>
        <w:rPr>
          <w:sz w:val="21"/>
          <w:szCs w:val="21"/>
        </w:rPr>
        <w:t xml:space="preserve">●  </w:t>
      </w:r>
      <w:r>
        <w:rPr>
          <w:sz w:val="21"/>
          <w:szCs w:val="21"/>
        </w:rPr>
        <w:t xml:space="preserve">SU21 Потребительское использование: Частные домохозяйства / широкая публика / потребители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Категория продукта: PC9a Покрытия и краски, разбавители, средства для удаления краски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Применение вещества / смеси: Водно-дисперсионный шпатлевочный состав для швов паркета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1.3 Данные поставщика паспорта безопасности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Производитель/Поставщик: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PALLMANN GmbH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Im Kreuz 6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D-97076 Würzburg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Тел. +49 (0)931-27964-0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Факс +49 (0)931-27964-50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Дополнительную информацию можно получить в: Products Development Lab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Эл. почта: msds.info@pallmann.net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1.4 Номер телефона экстренной связи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Медицинские экстренные ситуации (GIZ-Nord Poisons Center): +49 551 19240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Транспортные экстренные ситуации: +49 621 60 43 333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2: Идентификация опасности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2.1 Классификация вещества или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Классификация согласно Регламенту (ЕС) № 1272/2008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Продукт не классифицируется согласно Регламенту CLP Великобритании.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2.2 Элементы маркировки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Маркировка согласно Регламенту (ЕС) № 1272/2008: отсутствует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Пиктограммы опасности: отсутствуют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Сигнальное слово: отсутствует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Указания на опасность: отсутствуют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EUH208 Содержит 1,2-бензизотиазол-3(2H)-он, смесь: 5-хлор-2-метил-4-изотиазолин-3-он и 2-метил-2H-изотиазол-3-он (3:1). Может вызывать аллергическую реакцию.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2.3 Прочие 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Результаты оценки на СБТ и оСБсБ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СБТ: 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оСБсБ: не применимо.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3.2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Описание: Водно-дисперсионный шпатлевочный состав для швов паркета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Опасные компоненты: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200"/>
        <w:gridCol w:w="5800"/>
        <w:gridCol w:w="1006"/>
      </w:tblGrid>
      <w:tr>
        <w:trPr>
          <w:tblHeader/>
        </w:trPr>
        <w:tc>
          <w:tcPr>
            <w:tcW w:type="dxa" w:w="3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CAS / EINECS / Reg.nr.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Наименование и классификация</w:t>
            </w:r>
          </w:p>
        </w:tc>
        <w:tc>
          <w:tcPr>
            <w:tcW w:type="dxa" w:w="100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Конц.</w:t>
            </w:r>
          </w:p>
        </w:tc>
      </w:tr>
      <w:tr>
        <w:tc>
          <w:tcPr>
            <w:tcW w:type="dxa" w:w="3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CAS: 64-17-5
EINECS: 200-578-6
Reg.nr.: 01-2119457610-43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20"/>
            </w:pPr>
            <w:r>
              <w:rPr>
                <w:sz w:val="20"/>
                <w:szCs w:val="20"/>
              </w:rPr>
              <w:t xml:space="preserve">Этанол</w:t>
            </w:r>
          </w:p>
          <w:p>
            <w:pPr>
              <w:spacing w:after="20"/>
            </w:pPr>
            <w:r>
              <w:rPr>
                <w:sz w:val="20"/>
                <w:szCs w:val="20"/>
              </w:rPr>
              <w:t xml:space="preserve">Flam. Liq. 2, H225</w:t>
            </w:r>
          </w:p>
        </w:tc>
        <w:tc>
          <w:tcPr>
            <w:tcW w:type="dxa" w:w="100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5-&lt;10%</w:t>
            </w:r>
          </w:p>
        </w:tc>
      </w:tr>
      <w:tr>
        <w:tc>
          <w:tcPr>
            <w:tcW w:type="dxa" w:w="3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CAS: 2634-33-5
EINECS: 220-120-9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20"/>
            </w:pPr>
            <w:r>
              <w:rPr>
                <w:sz w:val="20"/>
                <w:szCs w:val="20"/>
              </w:rPr>
              <w:t xml:space="preserve">1,2-бензизотиазол-3(2H)-он</w:t>
            </w:r>
          </w:p>
          <w:p>
            <w:pPr>
              <w:spacing w:after="20"/>
            </w:pPr>
            <w:r>
              <w:rPr>
                <w:sz w:val="20"/>
                <w:szCs w:val="20"/>
              </w:rPr>
              <w:t xml:space="preserve">Eye Dam. 1, H318; Aquatic Acute 1, H400; Acute Tox. 4, H302; Skin Irrit. 2, H315; Skin Sens. 1, H317</w:t>
            </w:r>
          </w:p>
          <w:p>
            <w:pPr>
              <w:spacing w:after="20"/>
            </w:pPr>
            <w:r>
              <w:rPr>
                <w:sz w:val="20"/>
                <w:szCs w:val="20"/>
              </w:rPr>
              <w:t xml:space="preserve">Специфический предел концентрации: Skin Sens. 1; H317: C ≥ 0.05 %</w:t>
            </w:r>
          </w:p>
        </w:tc>
        <w:tc>
          <w:tcPr>
            <w:tcW w:type="dxa" w:w="100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&lt;0.05%</w:t>
            </w:r>
          </w:p>
        </w:tc>
      </w:tr>
      <w:tr>
        <w:tc>
          <w:tcPr>
            <w:tcW w:type="dxa" w:w="3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CAS: 55965-84-9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20"/>
            </w:pPr>
            <w:r>
              <w:rPr>
                <w:sz w:val="20"/>
                <w:szCs w:val="20"/>
              </w:rPr>
              <w:t xml:space="preserve">Смесь: 5-хлор-2-метил-4-изотиазолин-3-он и 2-метил-2H-изотиазол-3-он (3:1)</w:t>
            </w:r>
          </w:p>
          <w:p>
            <w:pPr>
              <w:spacing w:after="20"/>
            </w:pPr>
            <w:r>
              <w:rPr>
                <w:sz w:val="20"/>
                <w:szCs w:val="20"/>
              </w:rPr>
              <w:t xml:space="preserve">Acute Tox. 3, H301; Acute Tox. 2, H310; Acute Tox. 2, H330; Skin Corr. 1C, H314; Eye Dam. 1, H318; Aquatic Acute 1, H400 (M=100); Aquatic Chronic 1, H410 (M=100); Skin Sens. 1A, H317, EUH071</w:t>
            </w:r>
          </w:p>
          <w:p>
            <w:pPr>
              <w:spacing w:after="20"/>
            </w:pPr>
            <w:r>
              <w:rPr>
                <w:sz w:val="20"/>
                <w:szCs w:val="20"/>
              </w:rPr>
              <w:t xml:space="preserve">Специфические пределы концентрации: Skin Corr. 1C; H314: C ≥ 0.6 %; Skin Irrit. 2; H315: 0.06 % ≤ C &lt; 0.6 %; Eye Dam. 1; H318: C ≥ 0.6 %; Eye Irrit. 2; H319: 0.06 % ≤ C &lt; 0.6 %; Skin Sens. 1A; H317: C ≥ 0.0015 %</w:t>
            </w:r>
          </w:p>
        </w:tc>
        <w:tc>
          <w:tcPr>
            <w:tcW w:type="dxa" w:w="100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&lt;0.0015%</w:t>
            </w:r>
          </w:p>
        </w:tc>
      </w:tr>
    </w:tbl>
    <w:p>
      <w:pPr>
        <w:spacing w:after="80"/>
      </w:pP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информация: Формулировки перечисленных фраз опасности приведены в разделе 16.</w:t>
      </w:r>
    </w:p>
    <w:p>
      <w:pPr>
        <w:pBdr>
          <w:left w:val="single" w:color="1F3864" w:sz="18" w:space="8"/>
        </w:pBdr>
        <w:spacing w:after="100" w:before="100"/>
        <w:ind w:left="120"/>
      </w:pPr>
      <w:r>
        <w:rPr>
          <w:i/>
          <w:iCs/>
          <w:sz w:val="21"/>
          <w:szCs w:val="21"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4: Меры первой помощи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4.1 Описание мер первой помощи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Общая информация: Особых мер не требуется.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вдыхания: Обеспечить приток свежего воздуха.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контакта с кожей: Немедленно промыть водой с мылом и тщательно ополоснуть.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контакта с глазами: Промывать открытый глаз в течение нескольких минут под проточной водой. Затем обратиться к врачу.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проглатывания: Не вызывать рвоту; немедленно вызвать медицинскую помощь.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4.2 Наиболее важные симптомы и эффекты, как острые, так и отложенные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4.3 Указание на необходимость немедленной медицинской помощи и специального лечения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5: Меры пожаротушения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5.1 Средства пожаротушения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Подходящие средства пожаротушения: CO₂, порошок или водяной спрей. Крупные пожары тушить водяным спреем или пеной, устойчивой к спирту.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Средства пожаротушения, непригодные по соображениям безопасности: Вода со сплошной струёй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5.2 Особые опасности, исходящие от вещества или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5.3 Рекомендации для пожарных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Средства защиты: Особых мер не требуется.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6.1 Меры предосторожности для персонала, средства индивидуальной защиты и порядок действий в чрезвычайной ситуации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требуется.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6.2 Меры предосторожности для окружающей среды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допускать попадания в канализацию/поверхностные или грунтовые воды.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6.3 Методы и материалы для локализации и очистки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Впитать жидкосвязывающим материалом (песок, диатомит, кислотосвязывающие вещества, универсальные связующие, опилки).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6.4 Ссылка на другие разделы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См. раздел 7 для получения информации о безопасном обращении.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См. раздел 8 для получения информации о средствах индивидуальной защиты.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См. раздел 13 для получения информации об утилизации.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7: Обращение и хранение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7.1 Меры предосторожности для безопасного обращения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Избегать контакта с глазами и кожей.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Держать вдали от пищевых продуктов, напитков и корма.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Мыть руки перед перерывами и по окончании работы.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Информация о пожаро- и взрывобезопасности: Особых мер не требуется.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7.2 Условия безопасного хранения, включая любую несовместимость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Хранение: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Требования к складским помещениям и ёмкостям: Особых требований нет.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Информация о совместном хранении: Не требуется.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 об условиях хранения: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Держать ёмкость плотно закрытой.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Защищать от мороза.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7.3 Специфическое конечное применение (я)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8.1 Параметры контроля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Компоненты с предельными значениями, подлежащими контролю на рабочем месте: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CAS: 64-17-5 Этанол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WEL Долгосрочное значение: 1920 мг/м³, 1000 ppm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8.2 Контроль воздействия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Соответствующие технические средства контроля: Дополнительных данных нет; см. раздел 7.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Индивидуальные меры защиты, такие как средства индивидуальной защиты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Общие защитные и гигиенические меры: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Обычные меры предосторожности при обращении с химическими веществами должны соблюдаться.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Избегать контакта с глазами и кожей.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Держать вдали от пищевых продуктов, напитков и корма.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Мыть руки перед перерывами и по окончании работы.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Защита органов дыхания: Не требуется.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Защита рук: Перчатки из ПВХ или ПЭ (EN 374)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Материал перчаток: Перчатки из ПВХ или ПЭ (EN 374)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Время проникновения материала перчаток: Точное время прорыва должно быть определено производителем защитных перчаток и соблюдено.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Защита глаз/лица: Защитные очки (EN 166)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9.1 Информация об основных физических и химических свойствах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Общая информация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Физическое состояние: Жидкость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Цвет: Жёлтый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Запах: Спиртовой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Порог восприятия запаха: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Точка плавления/точка замерзания: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Точка кипения или начальная точка кипения и диапазон кипения: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Воспламеняемость: 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Нижний и верхний пределы взрываемости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Нижний: Не определён.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Верхний: Не определён.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Температура вспышки: &gt;100 °C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Температура разложения: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pH при 20 °C: 7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Вязкость: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Кинематическая вязкость при 20 °C: 100 с (DIN 53211/4)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Динамическая: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Растворимость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Вода: Диспергируется.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Коэффициент распределения н-октанол/вода (логарифмическое значение): Не определён.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Давление паров: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Плотность и/или относительная плотность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Плотность при 20 °C: 1.01 г/см³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Относительная плотность: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Плотность паров: Не определена.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9.2 Прочая информация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Внешний вид: Форма: Жидкость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Важная информация о защите здоровья и окружающей среды, а также о безопасности.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Температура воспламенения: Продукт не является самовоспламеняющимся.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Взрывоопасные свойства: Продукт не представляет взрывоопасности.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Изменение состояния. Скорость испарения: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Информация в отношении классов физической опасности — все категории (взрывчатые вещества, легковоспламеняющиеся газы, аэрозоли, окисляющие газы, газы под давлением, легковоспламеняющиеся жидкости и твёрдые вещества, саморазлагающиеся вещества, пирофорные жидкости и твёрдые вещества, самонагревающиеся вещества, вещества, выделяющие легковоспламеняющиеся газы при контакте с водой, окисляющие жидкости и твёрдые вещества, органические пероксиды, коррозионное воздействие на металлы, десенсибилизированные взрывчатые вещества): отсутствует.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10.1 Реакционная способность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10.2 Химическая стабильность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Термическое разложение / условия, которых следует избегать: Разложение не происходит при использовании по назначению.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10.3 Возможность опасных реакций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Опасные реакции неизвестны.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10.4 Условия, которых следует избегать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10.5 Несовместимые материалы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10.6 Опасные продукты разложения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Опасные продукты разложения неизвестны.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11: Токсикологическая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11.1 Информация о классах опасности, определённых в Регламенте (ЕС) № 1272/2008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Острая токсичность: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Значения LD/LC50, значимые для классификации: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CAS: 64-17-5 Этанол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Пероральная LD50: 7 060 мг/кг (крыса)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Ингаляционная LC50/4ч: 20 000 мг/л (крыса)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Раздражение/коррозия кожи: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Серьёзное повреждение/раздражение глаз: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Сенсибилизация дыхательных путей или кожи: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Мутагенность зародышевых клеток: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Канцерогенность: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Репродуктивная токсичность: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Специфическая токсичность на органы-мишени (однократное воздействие):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Специфическая токсичность на органы-мишени (повторное воздействие):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Опасность при аспирации: На основании имеющихся данных критерии классификации не соблюдены.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11.2 Информация о прочих опасностях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Свойства эндокринных разрушителей: Ни один из компонентов не включён в перечень.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12: Экологическая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12.1 Токсичность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Водная токсичность: 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12.2 Стойкость и способность к разложению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12.3 Биоаккумулятивный потенциал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12.4 Подвижность в почве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12.5 Результаты оценки на СБТ и оСБсБ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СБТ: 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оСБсБ: Не применимо.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12.6 Свойства эндокринных разрушителей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Продукт не содержит веществ со свойствами эндокринных разрушителей.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12.7 Прочие неблагоприятные эффекты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экологическая информация: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Общие указания: Не допускать попадания продукта в грунтовые воды, водотоки или канализационную систему.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13: Рекомендации по утилизации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13.1 Методы обработки отходов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Рекомендация: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допускать попадания продукта в канализационную систему.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Небольшие количества впитать жидкосвязывающим материалом (песок, диатомит, кислотосвязывающие вещества, универсальные связующие, опилки), дать затвердеть, затем утилизировать как строительные отходы.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Утилизацию больших количеств проводить в соответствии с требованиями местных органов власти.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Загрязнённая упаковка: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Рекомендация: Тщательно опустошить загрязнённую упаковку. После надлежащей и тщательной очистки может быть переработана.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Рекомендуемые чистящие средства: Вода, при необходимости в сочетании с чистящими средствами.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14: Транспортная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14.1 Номер ООН или идентификационный номер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ADN, IMDG, IATA: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14.2 Надлежащее транспортное наименование ООН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ADN, IMDG, IATA: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14.3 Класс(ы) транспортной 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ADN, IMDG, IATA — Класс: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14.4 Группа упаковки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IMDG, IATA: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14.5 Опасность для окружающей среды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Загрязнитель морской среды: Нет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14.6 Особые меры предосторожности для пользователя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применимо.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14.7 Морская перевозка навалом согласно документам ИМО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Транспорт/Дополнительная информация: Не является опасным согласно вышеуказанным характеристикам.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«UN Model Regulation»: отсутствует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15: Нормативная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15.1 Правила безопасности, охраны здоровья и окружающей среды/законодательство, специфичное для вещества или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Закон о ядах (Poisons Act)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Регулируемые прекурсоры взрывчатых веществ: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Регулируемые яды: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Прекурсоры взрывчатых веществ, подлежащие отчётности: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Яды, подлежащие отчётности: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Директива 2012/18/EU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Поименованные опасные вещества — Приложение I: Ни один из компонентов не включён в перечень.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15.2 Оценка химической безопасности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Оценка химической безопасности не проводилась.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16: Прочая информация</w:t>
            </w:r>
          </w:p>
        </w:tc>
      </w:tr>
    </w:tbl>
    <w:p>
      <w:pPr>
        <w:spacing w:after="80"/>
      </w:pP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Данная информация основана на наших текущих знаниях. Однако она не является гарантией каких-либо конкретных характеристик продукта и не устанавливает юридически действительных договорных отношений.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Настоящий паспорт безопасности соответствует Регламенту (ЕС) № 1907/2006, Статья 31, с изменениями, внесёнными Регламентом (ЕС) 2020/878.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Соответствующие фразы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H225 Легковоспламеняющаяся жидкость и пар.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H301 Токсично при проглатывании.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H302 Вредно при проглатывании.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H310 Смертельно при контакте с кожей.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H314 Вызывает серьёзные ожоги кожи и повреждения глаз.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H315 Вызывает раздражение кожи.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H317 Может вызывать аллергическую кожную реакцию.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H318 Вызывает серьёзные повреждения глаз.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H319 Вызывает серьёзное раздражение глаз.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H330 Смертельно при вдыхании.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H400 Очень токсично для водных организмов.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H410 Очень токсично для водных организмов с долгосрочными последствиями.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EUH071 Вызывает коррозию дыхательных путей.</w:t>
      </w:r>
    </w:p>
    <w:p>
      <w:pPr>
        <w:pBdr>
          <w:left w:val="single" w:color="1F3864" w:sz="18" w:space="8"/>
        </w:pBdr>
        <w:spacing w:after="100" w:before="100"/>
        <w:ind w:left="120"/>
      </w:pPr>
      <w:r>
        <w:rPr>
          <w:i/>
          <w:iCs/>
          <w:sz w:val="21"/>
          <w:szCs w:val="21"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Классификация согласно Регламенту (ЕС) № 1272/2008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Классификация смеси в целом основана на расчётном методе с использованием данных о веществах согласно Регламенту (ЕС) № 1272/2008.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Контакт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Эл. почта: msds.info@pallmann.net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Сокращения и аббревиатуры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RID — Международная конвенция о железнодорожных перевозках опасных грузов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ICAO — Международная организация гражданской авиации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 — Европейское соглашение о международной дорожной перевозке опасных грузов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IMDG — Международный кодекс морской перевозки опасных грузов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IATA — Международная ассоциация воздушного транспорта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GHS — Согласованная на глобальном уровне система классификации и маркировки химических веществ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EINECS — Европейский перечень существующих коммерческих химических веществ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ELINCS — Европейский список зарегистрированных химических веществ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CAS — Chemical Abstracts Service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LC50 — летальная концентрация, 50 процентов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LD50 — летальная доза, 50 процентов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PBT / СБТ — стойкое, биоаккумулятивное и токсичное вещество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vPvB / оСБсБ — очень стойкое и очень биоаккумулятивное вещество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Flam. Liq. 2 — легковоспламеняющиеся жидкости, категория 2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Acute Tox. 3 / 4 / 2 — острая токсичность, категория 3 / 4 / 2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Skin Corr. 1C — разъедание/раздражение кожи, категория 1C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Skin Irrit. 2 — разъедание/раздражение кожи, категория 2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Eye Dam. 1 — серьёзное повреждение/раздражение глаз, категория 1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Skin Sens. 1 / 1A — сенсибилизация кожи, категория 1 / 1A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Aquatic Acute 1 — опасность для водной среды - острая водная опасность, категория 1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Aquatic Chronic 1 — опасность для водной среды - долгосрочная водная опасность, категория 1</w:t>
      </w:r>
    </w:p>
    <w:p>
      <w:pPr>
        <w:spacing w:after="80"/>
      </w:pPr>
      <w:r>
        <w:rPr>
          <w:i/>
          <w:iCs/>
          <w:sz w:val="21"/>
          <w:szCs w:val="21"/>
        </w:rPr>
        <w:t xml:space="preserve">* Данные изменены по сравнению с предыдущей версией.</w:t>
      </w:r>
    </w:p>
    <w:p>
      <w:pPr>
        <w:spacing w:after="160"/>
      </w:pPr>
    </w:p>
    <w:sectPr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2026-07-16T16:25:37.578Z</dcterms:created>
  <dcterms:modified xsi:type="dcterms:W3CDTF">2026-07-16T16:25:37.596Z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