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333 COLOR WHITE</w:t>
      </w: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А (COLOR WHITE)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333 COLOR WHITE Комп. 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Безрастворительная двухкомпонентная грунтовка на масляной основе (компонент А)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Безрастворительная двухкомпонентная грунтовка на масляной основе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Немедленно снимать всю загрязнённую и запачканную одежду.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 Однако учитывать 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Белый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35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0.95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1907/2006 ПРИЛОЖЕНИЕ XVII: Условие ограничения № 20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p>
      <w:pPr>
        <w:pageBreakBefore/>
      </w:pPr>
    </w:p>
    <w:p>
      <w:pPr>
        <w:shd w:fill="F2F2F2" w:color="auto" w:val="clear"/>
        <w:spacing w:after="100" w:before="160"/>
      </w:pPr>
      <w:r>
        <w:rPr>
          <w:b/>
          <w:bCs/>
          <w:color w:val="1F3864"/>
          <w:sz w:val="24"/>
          <w:szCs w:val="24"/>
        </w:rPr>
        <w:t xml:space="preserve">Компонент Б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333 Комп. Б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Безрастворительная двухкомпонентная грунтовка на масляной основе (компонент Б)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 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 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 H335 Может вызывать раздражение дыхательных путей.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Продукт классифицирован и маркирован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GHS07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Внимание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Компоненты, определяющие маркировку: 1,6-гексаметилендиизоцианата гомополимер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H332 Вредно при вдыхании. H317 Может вызывать аллергическую кожную реакцию. 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Меры предосторожности: P102 Хранить в недоступном для детей месте. P280 Использовать защитные перчатки/средства защиты глаз. P302+P352 ПРИ ПОПАДАНИИ НА КОЖУ: промыть большим количеством воды с мылом. P310 Немедленно позвонить в токсикологический центр/к врачу. P304+P340 ПРИ ВДЫХАНИИ: вывести пострадавшего на свежий воздух и обеспечить покой в удобном для дыхания положении. P305+P351+P338 ПРИ ПОПАДАНИИ В ГЛАЗА: осторожно промывать водой в течение нескольких минут. Снять контактные линзы, если это легко сделать. Продолжить промывание. P333+P313 При раздражении или появлении сыпи на коже: обратиться за медицинской консультацией/помощью. P342+P311 При появлении симптомов со стороны дыхательных путей: позвонить в токсикологический центр/к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28182-81-2
Reg.nr.: 01-2119488934-20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1,6-Гексаметилендиизоцианата гомополимер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4, H332; Skin Sens. 1, H317; STOT SE 3, H335, EUH204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75-100%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Симптомы отравления могут проявиться даже спустя несколько часов; поэтому необходимо медицинское наблюдение в течение не менее 48 часов после происшествия.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воздуха; при жалобах обратиться к врачу.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Аллергические реакции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есть и не пить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Лица с бронхиальной астмой, аллергией, хроническим или рецидивирующим респираторным заболеванием не должны привлекаться к работе с данным препаратом.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Бутилкаучук (BR), нитриловый каучук (NBR).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Бесцветный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~200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&gt;400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~960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 при 50 °C: 0.0001 гПа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1.15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медленно реагирует с водой с выделением диоксида углерода. В закрытых ёмкостях повышение давления может привести к деформации, вздутию и, в крайних случаях,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окисляющих веществ, сильнощелочных и сильнокислотных материалов во избежание экзотермических реакций. Неконтролируемые экзотермические реакции возникают с аминами и спиртами. При хранении избегать загрязнения влагой.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разложения, такие как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Значения LD/LC50, значимые для классификации: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28182-81-2 1,6-Гексаметилендиизоцианата гомополимер — Пероральная LD50: &gt;5 000 мг/кг (крыса, метод OECD 423); Дермальная LD50: &gt;2 000 мг/кг (крыса, метод OECD 402)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Возможен слабый раздражающий эффект.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и с учётом токсикологических данных по аналогичным препаратам, данный препарат может вызывать острое раздражение и/или сенсибилизацию дыхательной системы, приводящую к астматическому состоянию, хрипам и ощущению стеснения в груди. У сенсибилизированных лиц впоследствии могут проявляться астматические симптомы при концентрациях в воздухе значительно ниже предельно допустимых. Повторное воздействие может привести к необратимому нарушению функции дыхания.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Не допускать попадания продукта в канализационную систему. 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1907/2006 ПРИЛОЖЕНИЕ XVII: Условие ограничения № 3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H332 Вредно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H335 Может вызывать раздражение дыхательных путей.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Рекомендуемое ограничение по использованию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LC50 — летальная концентрация,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LD50 — летальная доза,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4 — острая токсичность, категория 4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— сенсибилизация кожи,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STOT SE 3 — специфическая токсичность на органы-мишени (однократное воздействие), категория 3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2026-07-16T16:46:18.601Z</dcterms:created>
  <dcterms:modified xsi:type="dcterms:W3CDTF">2026-07-16T16:46:18.602Z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