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120"/>
        <w:jc w:val="center"/>
      </w:pPr>
      <w:r>
        <w:rPr>
          <w:i/>
          <w:iCs/>
          <w:sz w:val="22"/>
          <w:szCs w:val="22"/>
        </w:rPr>
        <w:t xml:space="preserve">согласно 1907/2006/EC, Статья 31</w:t>
      </w:r>
    </w:p>
    <w:p>
      <w:pPr>
        <w:pBdr>
          <w:bottom w:val="single" w:color="1F3864" w:sz="6" w:space="4"/>
        </w:pBdr>
        <w:spacing w:after="40"/>
        <w:jc w:val="center"/>
      </w:pPr>
      <w:r>
        <w:rPr>
          <w:b/>
          <w:bCs/>
          <w:sz w:val="26"/>
          <w:szCs w:val="26"/>
        </w:rPr>
        <w:t xml:space="preserve">UZIN KE 2000 S</w:t>
      </w:r>
    </w:p>
    <w:p>
      <w:pPr>
        <w:spacing w:after="200" w:before="100"/>
        <w:jc w:val="center"/>
      </w:pPr>
      <w:r>
        <w:rPr>
          <w:color w:val="555555"/>
          <w:sz w:val="18"/>
          <w:szCs w:val="18"/>
        </w:rPr>
        <w:t xml:space="preserve">Дата печати: 02.02.2022  ·  Версия № 7  ·  Редакция: 02.02.2022</w:t>
      </w: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W w:type="dxa" w:w="10466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120"/>
      </w:pPr>
    </w:p>
    <w:p>
      <w:pPr>
        <w:spacing w:after="60" w:before="120"/>
      </w:pPr>
      <w:r>
        <w:rPr>
          <w:b/>
          <w:bCs/>
        </w:rPr>
        <w:t xml:space="preserve">1.1 Идентификатор продукта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Торговое название: UZIN KE 2000 S</w:t>
      </w:r>
    </w:p>
    <w:p>
      <w:pPr>
        <w:spacing w:after="60" w:before="120"/>
      </w:pPr>
      <w:r>
        <w:rPr>
          <w:b/>
          <w:bCs/>
        </w:rPr>
        <w:t xml:space="preserve">1.2 Соответствующие установленные способы применения вещества или смеси и способы применения, не рекомендуемые к использованию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Особых требований нет.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Сектор применения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SU19 Строительство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SU21 Потребительское использование: частные домохозяйства / широкая публика / потребители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Категория продукта: PC1 Клеи, герметики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Область применения вещества/смеси: Универсальный контактный клей (pressure-sensitive adhesive)</w:t>
      </w:r>
    </w:p>
    <w:p>
      <w:pPr>
        <w:spacing w:after="60" w:before="120"/>
      </w:pPr>
      <w:r>
        <w:rPr>
          <w:b/>
          <w:bCs/>
        </w:rPr>
        <w:t xml:space="preserve">1.3 Данные поставщика паспорта безопасности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Производитель/поставщик: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Производитель: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UZIN UTZ AG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Dieselstraße 3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D-89079 Ulm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Тел.: +49 (0)731 4097-0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Факс: +49 (0)731 4097-110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Поставщик в Великобритании: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Uzin Utz UK Ltd.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Unit 2, Mitchell Court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Central Park, Rugby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Warwickshire, CV23 0UY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Тел.: +44 (0) 1788 530 080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Факс: +44 (0) 1788 536508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Email: info@uk.uzin-utz.com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Дополнительную информацию можно получить в: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Отдел безопасности продукции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Email: msds.info@uzin-utz.com</w:t>
      </w:r>
    </w:p>
    <w:p>
      <w:pPr>
        <w:spacing w:after="60" w:before="120"/>
      </w:pPr>
      <w:r>
        <w:rPr>
          <w:b/>
          <w:bCs/>
        </w:rPr>
        <w:t xml:space="preserve">1.4 Телефон экстренной связи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Медицинские экстренные случаи (Информационный центр по отравлениям GIZ-Nord): +49 551 19240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Экстренные случаи при транспортировке: +49 621 60 43 333</w:t>
      </w:r>
    </w:p>
    <w:p>
      <w:pPr>
        <w:spacing w:after="200"/>
      </w:pP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W w:type="dxa" w:w="10466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120"/>
      </w:pPr>
    </w:p>
    <w:p>
      <w:pPr>
        <w:spacing w:after="60" w:before="120"/>
      </w:pPr>
      <w:r>
        <w:rPr>
          <w:b/>
          <w:bCs/>
        </w:rPr>
        <w:t xml:space="preserve">2.1 Классификация вещества или смеси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Продукт не классифицируется как опасный согласно регламенту CLP.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Дополнительная информация: горячая линия по информации об аллергии +49 (0)731 4097-0</w:t>
      </w:r>
    </w:p>
    <w:p>
      <w:pPr>
        <w:spacing w:after="60" w:before="120"/>
      </w:pPr>
      <w:r>
        <w:rPr>
          <w:b/>
          <w:bCs/>
        </w:rPr>
        <w:t xml:space="preserve">2.2 Элементы маркировки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Маркировка согласно Регламенту (ЕС) № 1272/2008: отсутствует (Void)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Пиктограммы опасности: отсутствуют (Void)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Сигнальное слово: отсутствует (Void)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Указания на опасность: отсутствуют (Void)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Дополнительная информация: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EUH208 Содержит смесь: 5-хлор-2-метил-4-изотиазолин-3-он и 2-метил-2H-изотиазол-3-он (3:1). Может вызвать аллергическую реакцию.</w:t>
      </w:r>
    </w:p>
    <w:p>
      <w:pPr>
        <w:spacing w:after="60" w:before="120"/>
      </w:pPr>
      <w:r>
        <w:rPr>
          <w:b/>
          <w:bCs/>
        </w:rPr>
        <w:t xml:space="preserve">2.3 Прочие опасности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Результаты оценки на СБТ и оСБсБ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СБТ: неприменимо.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оСБсБ: неприменимо.</w:t>
      </w:r>
    </w:p>
    <w:p>
      <w:pPr>
        <w:spacing w:after="200"/>
      </w:pP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W w:type="dxa" w:w="10466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Состав/информация о компонентах</w:t>
            </w:r>
          </w:p>
        </w:tc>
      </w:tr>
    </w:tbl>
    <w:p>
      <w:pPr>
        <w:spacing w:after="120"/>
      </w:pPr>
    </w:p>
    <w:p>
      <w:pPr>
        <w:spacing w:after="60" w:before="120"/>
      </w:pPr>
      <w:r>
        <w:rPr>
          <w:b/>
          <w:bCs/>
        </w:rPr>
        <w:t xml:space="preserve">3.2 Смеси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Описание: Дисперсионный клей. Без растворителей, не содержит жидких органических соединений с температурой кипения &lt; 200 °C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Опасные компоненты:</w:t>
      </w: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5700"/>
        <w:gridCol w:w="1200"/>
      </w:tblGrid>
      <w:tr>
        <w:trPr>
          <w:tblHeader/>
        </w:trPr>
        <w:tc>
          <w:tcPr>
            <w:tcW w:type="dxa" w:w="16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18"/>
                <w:szCs w:val="18"/>
              </w:rPr>
              <w:t xml:space="preserve">CAS</w:t>
            </w:r>
          </w:p>
        </w:tc>
        <w:tc>
          <w:tcPr>
            <w:tcW w:type="dxa" w:w="57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18"/>
                <w:szCs w:val="18"/>
              </w:rPr>
              <w:t xml:space="preserve">Компонент и классификация</w:t>
            </w:r>
          </w:p>
        </w:tc>
        <w:tc>
          <w:tcPr>
            <w:tcW w:type="dxa" w:w="1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18"/>
                <w:szCs w:val="18"/>
              </w:rPr>
              <w:t xml:space="preserve">Концентрация</w:t>
            </w:r>
          </w:p>
        </w:tc>
      </w:tr>
      <w:tr>
        <w:tc>
          <w:tcPr>
            <w:tcW w:type="dxa" w:w="16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/>
            </w:pPr>
            <w:r>
              <w:rPr>
                <w:sz w:val="18"/>
                <w:szCs w:val="18"/>
              </w:rPr>
              <w:t xml:space="preserve">CAS: 55965-84-9</w:t>
            </w:r>
          </w:p>
        </w:tc>
        <w:tc>
          <w:tcPr>
            <w:tcW w:type="dxa" w:w="57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/>
            </w:pPr>
            <w:r>
              <w:rPr>
                <w:sz w:val="18"/>
                <w:szCs w:val="18"/>
              </w:rPr>
              <w:t xml:space="preserve">Смесь: 5-хлор-2-метил-4-изотиазолин-3-он и 2-метил-2H-изотиазол-3-он (3:1)</w:t>
            </w:r>
          </w:p>
          <w:p>
            <w:pPr>
              <w:spacing w:after="40"/>
            </w:pPr>
            <w:r>
              <w:rPr>
                <w:sz w:val="18"/>
                <w:szCs w:val="18"/>
              </w:rPr>
              <w:t xml:space="preserve">Acute Tox. 3, H301; Acute Tox. 2, H310; Acute Tox. 2, H330; Skin Corr. 1C, H314; Eye Dam. 1, H318; Aquatic Acute 1, H400 (M=100); Aquatic Chronic 1, H410 (M=100); Skin Sens. 1A, H317</w:t>
            </w:r>
          </w:p>
          <w:p>
            <w:pPr>
              <w:spacing w:after="40"/>
            </w:pPr>
            <w:r>
              <w:rPr>
                <w:sz w:val="18"/>
                <w:szCs w:val="18"/>
              </w:rPr>
              <w:t xml:space="preserve">Специфические пределы концентрации:</w:t>
            </w:r>
          </w:p>
          <w:p>
            <w:pPr>
              <w:spacing w:after="40"/>
            </w:pPr>
            <w:r>
              <w:rPr>
                <w:sz w:val="18"/>
                <w:szCs w:val="18"/>
              </w:rPr>
              <w:t xml:space="preserve">Skin Corr. 1C; H314: C ≥ 0,6 %</w:t>
            </w:r>
          </w:p>
          <w:p>
            <w:pPr>
              <w:spacing w:after="40"/>
            </w:pPr>
            <w:r>
              <w:rPr>
                <w:sz w:val="18"/>
                <w:szCs w:val="18"/>
              </w:rPr>
              <w:t xml:space="preserve">Skin Irrit. 2; H315: 0,06 % ≤ C &lt; 0,6 %</w:t>
            </w:r>
          </w:p>
          <w:p>
            <w:pPr>
              <w:spacing w:after="40"/>
            </w:pPr>
            <w:r>
              <w:rPr>
                <w:sz w:val="18"/>
                <w:szCs w:val="18"/>
              </w:rPr>
              <w:t xml:space="preserve">Eye Dam. 1; H318: C ≥ 0,6 %</w:t>
            </w:r>
          </w:p>
          <w:p>
            <w:pPr>
              <w:spacing w:after="40"/>
            </w:pPr>
            <w:r>
              <w:rPr>
                <w:sz w:val="18"/>
                <w:szCs w:val="18"/>
              </w:rPr>
              <w:t xml:space="preserve">Eye Irrit. 2; H319: 0,06 % ≤ C &lt; 0,6 %</w:t>
            </w:r>
          </w:p>
          <w:p>
            <w:pPr>
              <w:spacing w:after="40"/>
            </w:pPr>
            <w:r>
              <w:rPr>
                <w:sz w:val="18"/>
                <w:szCs w:val="18"/>
              </w:rPr>
              <w:t xml:space="preserve">Skin Sens. 1A; H317: C ≥ 0,0015 %</w:t>
            </w:r>
          </w:p>
        </w:tc>
        <w:tc>
          <w:tcPr>
            <w:tcW w:type="dxa" w:w="1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40"/>
            </w:pPr>
            <w:r>
              <w:rPr>
                <w:sz w:val="18"/>
                <w:szCs w:val="18"/>
              </w:rPr>
              <w:t xml:space="preserve">&lt;0,0015%</w:t>
            </w:r>
          </w:p>
        </w:tc>
      </w:tr>
    </w:tbl>
    <w:p>
      <w:pPr>
        <w:spacing w:after="60"/>
      </w:pPr>
      <w:r>
        <w:rPr>
          <w:b w:val="false"/>
          <w:bCs w:val="false"/>
          <w:i w:val="false"/>
          <w:iCs w:val="false"/>
        </w:rPr>
        <w:t xml:space="preserve">Дополнительная информация: Формулировки указанных H-фраз приведены в разделе 16.</w:t>
      </w:r>
    </w:p>
    <w:p>
      <w:pPr>
        <w:pBdr>
          <w:left w:val="single" w:color="1F3864" w:sz="18" w:space="8"/>
        </w:pBdr>
        <w:spacing w:after="100" w:before="100"/>
        <w:ind w:left="10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200"/>
      </w:pP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W w:type="dxa" w:w="10466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120"/>
      </w:pPr>
    </w:p>
    <w:p>
      <w:pPr>
        <w:spacing w:after="60" w:before="120"/>
      </w:pPr>
      <w:r>
        <w:rPr>
          <w:b/>
          <w:bCs/>
        </w:rPr>
        <w:t xml:space="preserve">4.1 Описание мер первой помощи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Общая информация: Особые меры не требуются.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После вдыхания: Обеспечить приток свежего воздуха.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После контакта с кожей: Немедленно промыть водой с мылом и тщательно ополоснуть.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После контакта с глазами: Промывать открытый глаз в течение нескольких минут под проточной водой. Затем обратиться к врачу.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После проглатывания: 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</w:rPr>
        <w:t xml:space="preserve">4.2 Наиболее важные симптомы и эффекты, острые и отсроченные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Дополнительная значимая информация отсутствует.</w:t>
      </w:r>
    </w:p>
    <w:p>
      <w:pPr>
        <w:spacing w:after="200"/>
      </w:pP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W w:type="dxa" w:w="10466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120"/>
      </w:pPr>
    </w:p>
    <w:p>
      <w:pPr>
        <w:spacing w:after="60" w:before="120"/>
      </w:pPr>
      <w:r>
        <w:rPr>
          <w:b/>
          <w:bCs/>
        </w:rPr>
        <w:t xml:space="preserve">5.1 Средства пожаротушения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Подходящие средства пожаротушения: CO₂, порошок или водяной спрей. Для тушения крупных пожаров использовать водяной спрей или пену, устойчивую к спирту.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Средства пожаротушения, непригодные по соображениям безопасности: вода со сплошной струёй</w:t>
      </w:r>
    </w:p>
    <w:p>
      <w:pPr>
        <w:spacing w:after="60" w:before="120"/>
      </w:pPr>
      <w:r>
        <w:rPr>
          <w:b/>
          <w:bCs/>
        </w:rPr>
        <w:t xml:space="preserve">5.2 Особые опасности, возникающие в результате воздействия вещества или смеси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5.3 Рекомендации для пожарных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Средства защиты: Особые меры не требуются.</w:t>
      </w:r>
    </w:p>
    <w:p>
      <w:pPr>
        <w:spacing w:after="200"/>
      </w:pP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W w:type="dxa" w:w="10466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120"/>
      </w:pPr>
    </w:p>
    <w:p>
      <w:pPr>
        <w:spacing w:after="60" w:before="120"/>
      </w:pPr>
      <w:r>
        <w:rPr>
          <w:b/>
          <w:bCs/>
        </w:rPr>
        <w:t xml:space="preserve">6.1 Меры предосторожности для персонала, защитное оборудование и порядок действий в чрезвычайной ситуации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Особые меры не требуются.</w:t>
      </w:r>
    </w:p>
    <w:p>
      <w:pPr>
        <w:spacing w:after="60" w:before="120"/>
      </w:pPr>
      <w:r>
        <w:rPr>
          <w:b/>
          <w:bCs/>
        </w:rPr>
        <w:t xml:space="preserve">6.2 Меры предосторожности для окружающей среды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Не допускать попадания в канализацию/поверхностные или грунтовые воды.</w:t>
      </w:r>
    </w:p>
    <w:p>
      <w:pPr>
        <w:spacing w:after="60" w:before="120"/>
      </w:pPr>
      <w:r>
        <w:rPr>
          <w:b/>
          <w:bCs/>
        </w:rPr>
        <w:t xml:space="preserve">6.3 Методы и материалы для локализации и очистки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Собрать при помощи жидкосвязывающего материала (песок, диатомит, кислотосвязывающие средства, универсальные связующие, опилки).</w:t>
      </w:r>
    </w:p>
    <w:p>
      <w:pPr>
        <w:spacing w:after="60" w:before="120"/>
      </w:pPr>
      <w:r>
        <w:rPr>
          <w:b/>
          <w:bCs/>
        </w:rPr>
        <w:t xml:space="preserve">6.4 Ссылка на другие разделы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См. раздел 7 для информации о безопасном обращении.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См. раздел 8 для информации о средствах индивидуальной защиты.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См. раздел 13 для информации об утилизации.</w:t>
      </w:r>
    </w:p>
    <w:p>
      <w:pPr>
        <w:spacing w:after="200"/>
      </w:pP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W w:type="dxa" w:w="10466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120"/>
      </w:pPr>
    </w:p>
    <w:p>
      <w:pPr>
        <w:spacing w:after="60" w:before="120"/>
      </w:pPr>
      <w:r>
        <w:rPr>
          <w:b/>
          <w:bCs/>
        </w:rPr>
        <w:t xml:space="preserve">7.1 Меры предосторожности для безопасного обращения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Хранить в недоступном для детей месте.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Избегать контакта с глазами и кожей.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Промывать инструменты водой с мылом сразу после использования.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Информация о противопожарной защите и защите от взрыва: Особые меры не требуются.</w:t>
      </w:r>
    </w:p>
    <w:p>
      <w:pPr>
        <w:spacing w:after="60" w:before="120"/>
      </w:pPr>
      <w:r>
        <w:rPr>
          <w:b/>
          <w:bCs/>
        </w:rPr>
        <w:t xml:space="preserve">7.2 Условия безопасного хранения, включая несовместимость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Хранение: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Требования к складским помещениям и ёмкостям: Особых требований нет.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Информация о совместном хранении: не требуется.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Дополнительная информация об условиях хранения: Защищать от промерзания.</w:t>
      </w:r>
    </w:p>
    <w:p>
      <w:pPr>
        <w:spacing w:after="60" w:before="120"/>
      </w:pPr>
      <w:r>
        <w:rPr>
          <w:b/>
          <w:bCs/>
        </w:rPr>
        <w:t xml:space="preserve">7.3 Специфическое конечное применение(я)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Дополнительная значимая информация отсутствует.</w:t>
      </w:r>
    </w:p>
    <w:p>
      <w:pPr>
        <w:spacing w:after="200"/>
      </w:pP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W w:type="dxa" w:w="10466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120"/>
      </w:pPr>
    </w:p>
    <w:p>
      <w:pPr>
        <w:spacing w:after="60" w:before="120"/>
      </w:pPr>
      <w:r>
        <w:rPr>
          <w:b/>
          <w:bCs/>
        </w:rPr>
        <w:t xml:space="preserve">8.1 Параметры контроля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Компоненты с предельными значениями, подлежащие контролю на рабочем месте: Продукт не содержит значимых количеств веществ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</w:rPr>
        <w:t xml:space="preserve">8.2 Меры по ограничению воздействия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Соответствующие технические меры контроля: Дополнительных данных нет; см. пункт 7.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Меры индивидуальной защиты, включая средства индивидуальной защиты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Общие защитные и гигиенические меры: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Соблюдать обычные меры предосторожности при обращении с химическими веществами.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Избегать контакта с глазами и кожей.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Не есть, не пить, не курить и не нюхать во время работы.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Защита органов дыхания: Не требуется. Во время и после укладки и высыхания продукта должна обеспечиваться тщательная вентиляция.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Защита рук: перчатки из ПВХ или ПЭ (EN 374)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Материал перчаток: перчатки из ПВХ или ПЭ (EN 374)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Время проникновения материала перчаток: точное время прорыва должно быть определено производителем защитных перчаток и должно соблюдаться.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Защита глаз/лица: защитные очки (EN 166)</w:t>
      </w:r>
    </w:p>
    <w:p>
      <w:pPr>
        <w:spacing w:after="200"/>
      </w:pP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W w:type="dxa" w:w="10466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120"/>
      </w:pPr>
    </w:p>
    <w:p>
      <w:pPr>
        <w:spacing w:after="60" w:before="120"/>
      </w:pPr>
      <w:r>
        <w:rPr>
          <w:b/>
          <w:bCs/>
        </w:rPr>
        <w:t xml:space="preserve">9.1 Информация об основных физических и химических свойствах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Физическое состояние: жидкое (текучее)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Цвет: бежевый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Запах: слабый, характерный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Порог восприятия запаха: не определён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Температура плавления/затвердевания: не определена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Температура кипения или начальная температура кипения и диапазон кипения: не определены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Воспламеняемость: неприменимо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Нижний предел взрываемости: не определён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Верхний предел взрываемости: не определён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Температура вспышки: &gt;100 °C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Температура самовоспламенения: продукт не является самовоспламеняющимся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Температура разложения: не определена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pH при 20 °C: 8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Кинематическая вязкость: не определена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Динамическая вязкость при 20 °C: 30 000 мПа·с (Brookfield RV 7, 20 об/мин)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Растворимость в воде: диспергируется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Коэффициент распределения н-октанол/вода (логарифмическое значение): не определён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Давление пара: не определено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Плотность при 20 °C: 1,2 г/см³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Относительная плотность: не определена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Плотность пара: не определена</w:t>
      </w:r>
    </w:p>
    <w:p>
      <w:pPr>
        <w:spacing w:after="60" w:before="120"/>
      </w:pPr>
      <w:r>
        <w:rPr>
          <w:b/>
          <w:bCs/>
        </w:rPr>
        <w:t xml:space="preserve">9.2 Прочая информация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Форма: пастообразная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Скорость испарения: не определена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Информация в отношении классов физической опасности (взрывчатые вещества, легковоспламеняющиеся газы, аэрозоли, окисляющие газы, газы под давлением, легковоспламеняющиеся жидкости и твёрдые вещества, самореактивные вещества и смеси, пирофорные жидкости и твёрдые вещества, самонагревающиеся вещества и смеси, вещества, выделяющие легковоспламеняющиеся газы при контакте с водой, окисляющие жидкости и твёрдые вещества, органические пероксиды, коррозионное воздействие на металлы, десенсибилизированные взрывчатые вещества): отсутствует (Void) — для всех перечисленных классов.</w:t>
      </w:r>
    </w:p>
    <w:p>
      <w:pPr>
        <w:spacing w:after="200"/>
      </w:pP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W w:type="dxa" w:w="10466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120"/>
      </w:pPr>
    </w:p>
    <w:p>
      <w:pPr>
        <w:spacing w:after="60" w:before="120"/>
      </w:pPr>
      <w:r>
        <w:rPr>
          <w:b/>
          <w:bCs/>
        </w:rPr>
        <w:t xml:space="preserve">10.1 Реакционная способность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10.2 Химическая стабильность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Термическое разложение / условия, которых следует избегать: Разложения не происходит при использовании по назначению.</w:t>
      </w:r>
    </w:p>
    <w:p>
      <w:pPr>
        <w:spacing w:after="60" w:before="120"/>
      </w:pPr>
      <w:r>
        <w:rPr>
          <w:b/>
          <w:bCs/>
        </w:rPr>
        <w:t xml:space="preserve">10.3 Возможность опасных реакций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Опасные реакции неизвестны.</w:t>
      </w:r>
    </w:p>
    <w:p>
      <w:pPr>
        <w:spacing w:after="60" w:before="120"/>
      </w:pPr>
      <w:r>
        <w:rPr>
          <w:b/>
          <w:bCs/>
        </w:rPr>
        <w:t xml:space="preserve">10.4 Условия, которых следует избегать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10.5 Несовместимые материалы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10.6 Опасные продукты разложения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Опасные продукты разложения неизвестны.</w:t>
      </w:r>
    </w:p>
    <w:p>
      <w:pPr>
        <w:spacing w:after="200"/>
      </w:pP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W w:type="dxa" w:w="10466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120"/>
      </w:pPr>
    </w:p>
    <w:p>
      <w:pPr>
        <w:spacing w:after="60" w:before="120"/>
      </w:pPr>
      <w:r>
        <w:rPr>
          <w:b/>
          <w:bCs/>
        </w:rPr>
        <w:t xml:space="preserve">11.1 Информация о классах опасности согласно Регламенту (ЕС) № 1272/2008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Острая токсичность: На основании имеющихся данных критерии классификации не выполняются.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Разъедание/раздражение кожи: На основании имеющихся данных критерии классификации не выполняются.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Серьёзное повреждение/раздражение глаз: На основании имеющихся данных критерии классификации не выполняются.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Сенсибилизация дыхательных путей или кожи: На основании имеющихся данных критерии классификации не выполняются.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Мутагенность зародышевых клеток: На основании имеющихся данных критерии классификации не выполняются.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Канцерогенность: На основании имеющихся данных критерии классификации не выполняются.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Репродуктивная токсичность: На основании имеющихся данных критерии классификации не выполняются.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Специфическая токсичность на органы-мишени (однократное воздействие): На основании имеющихся данных критерии классификации не выполняются.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Специфическая токсичность на органы-мишени (повторное воздействие): На основании имеющихся данных критерии классификации не выполняются.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Опасность при аспирации: На основании имеющихся данных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11.2 Информация о прочих опасностях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200"/>
      </w:pP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W w:type="dxa" w:w="10466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120"/>
      </w:pPr>
    </w:p>
    <w:p>
      <w:pPr>
        <w:spacing w:after="60" w:before="120"/>
      </w:pPr>
      <w:r>
        <w:rPr>
          <w:b/>
          <w:bCs/>
        </w:rPr>
        <w:t xml:space="preserve">12.1 Токсичность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Водная токсичность: 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12.2 Стойкость и способность к разложению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12.3 Биоаккумулятивный потенциал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12.4 Подвижность в почве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12.5 Результаты оценки на СБТ и оСБсБ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СБТ: неприменимо.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оСБсБ: неприменимо.</w:t>
      </w:r>
    </w:p>
    <w:p>
      <w:pPr>
        <w:spacing w:after="60" w:before="120"/>
      </w:pPr>
      <w:r>
        <w:rPr>
          <w:b/>
          <w:bCs/>
        </w:rPr>
        <w:t xml:space="preserve">12.6 Свойства эндокринных разрушителей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</w:rPr>
        <w:t xml:space="preserve">12.7 Прочие неблагоприятные воздействия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Дополнительная экологическая информация: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Общие указания: Не допускать попадания продукта в грунтовые воды, водоёмы или канализацию.</w:t>
      </w:r>
    </w:p>
    <w:p>
      <w:pPr>
        <w:spacing w:after="200"/>
      </w:pP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W w:type="dxa" w:w="10466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120"/>
      </w:pPr>
    </w:p>
    <w:p>
      <w:pPr>
        <w:spacing w:after="60" w:before="120"/>
      </w:pPr>
      <w:r>
        <w:rPr>
          <w:b/>
          <w:bCs/>
        </w:rPr>
        <w:t xml:space="preserve">13.1 Методы обращения с отходами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Рекомендация: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Не допускать попадания продукта в канализацию.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Дать остаткам продукта затвердеть в открытой ёмкости, затем утилизировать как строительные отходы.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Загрязнённая тара: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Рекомендация: Утилизация должна производиться в соответствии с официальными нормативами. Тщательно очистить загрязнённую тару. После надлежащей и тщательной очистки она может быть переработана.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Рекомендуемые чистящие средства: вода, при необходимости с чистящими средствами.</w:t>
      </w:r>
    </w:p>
    <w:p>
      <w:pPr>
        <w:spacing w:after="200"/>
      </w:pP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W w:type="dxa" w:w="10466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120"/>
      </w:pPr>
    </w:p>
    <w:p>
      <w:pPr>
        <w:spacing w:after="60" w:before="120"/>
      </w:pPr>
      <w:r>
        <w:rPr>
          <w:b/>
          <w:bCs/>
        </w:rPr>
        <w:t xml:space="preserve">14.1 Номер ООН или идентификационный номер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ADR, ADN, IMDG, IATA: отсутствует (Void)</w:t>
      </w:r>
    </w:p>
    <w:p>
      <w:pPr>
        <w:spacing w:after="60" w:before="120"/>
      </w:pPr>
      <w:r>
        <w:rPr>
          <w:b/>
          <w:bCs/>
        </w:rPr>
        <w:t xml:space="preserve">14.2 Собственное транспортное наименование по ООН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ADR, ADN, IMDG, IATA: отсутствует (Void)</w:t>
      </w:r>
    </w:p>
    <w:p>
      <w:pPr>
        <w:spacing w:after="60" w:before="120"/>
      </w:pPr>
      <w:r>
        <w:rPr>
          <w:b/>
          <w:bCs/>
        </w:rPr>
        <w:t xml:space="preserve">14.3 Класс(ы) опасности при транспортировке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ADR, ADN, IMDG, IATA — Класс: отсутствует (Void)</w:t>
      </w:r>
    </w:p>
    <w:p>
      <w:pPr>
        <w:spacing w:after="60" w:before="120"/>
      </w:pPr>
      <w:r>
        <w:rPr>
          <w:b/>
          <w:bCs/>
        </w:rPr>
        <w:t xml:space="preserve">14.4 Группа упаковки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ADR, IMDG, IATA: отсутствует (Void)</w:t>
      </w:r>
    </w:p>
    <w:p>
      <w:pPr>
        <w:spacing w:after="60" w:before="120"/>
      </w:pPr>
      <w:r>
        <w:rPr>
          <w:b/>
          <w:bCs/>
        </w:rPr>
        <w:t xml:space="preserve">14.5 Опасность для окружающей среды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Загрязнитель морской среды: нет</w:t>
      </w:r>
    </w:p>
    <w:p>
      <w:pPr>
        <w:spacing w:after="60" w:before="120"/>
      </w:pPr>
      <w:r>
        <w:rPr>
          <w:b/>
          <w:bCs/>
        </w:rPr>
        <w:t xml:space="preserve">14.6 Особые меры предосторожности для пользователя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Неприменимо.</w:t>
      </w:r>
    </w:p>
    <w:p>
      <w:pPr>
        <w:spacing w:after="60" w:before="120"/>
      </w:pPr>
      <w:r>
        <w:rPr>
          <w:b/>
          <w:bCs/>
        </w:rPr>
        <w:t xml:space="preserve">14.7 Морская перевозка навалом согласно документам ИМО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Неприменимо.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Транспорт/Дополнительная информация: Не является опасным согласно вышеуказанным характеристикам.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Модельные правила ООН: отсутствует (Void)</w:t>
      </w:r>
    </w:p>
    <w:p>
      <w:pPr>
        <w:spacing w:after="200"/>
      </w:pP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W w:type="dxa" w:w="10466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120"/>
      </w:pPr>
    </w:p>
    <w:p>
      <w:pPr>
        <w:spacing w:after="60" w:before="120"/>
      </w:pPr>
      <w:r>
        <w:rPr>
          <w:b/>
          <w:bCs/>
        </w:rPr>
        <w:t xml:space="preserve">15.1 Правила по технике безопасности, охране здоровья и окружающей среды, специфичные для вещества или смеси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Директива 2012/18/ЕС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Поименованные опасные вещества — ПРИЛОЖЕНИЕ I: Ни один из компонентов не включён в перечень.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РЕГЛАМЕНТ (ЕС) 2019/1148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Регламент (ЕС) № 273/2004 о прекурсорах наркотиков: Ни один из компонентов не включён в перечень.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Регламент (ЕС) № 111/2005, устанавливающий правила контроля торговли прекурсорами наркотиков между Сообществом и третьими странами: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15.2 Оценка химической безопасности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Оценка химической безопасности не проводилась.</w:t>
      </w:r>
    </w:p>
    <w:p>
      <w:pPr>
        <w:spacing w:after="200"/>
      </w:pP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466"/>
      </w:tblGrid>
      <w:tr>
        <w:tc>
          <w:tcPr>
            <w:tcW w:type="dxa" w:w="10466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120"/>
      </w:pP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Данная информация основана на наших текущих знаниях. Однако она не является гарантией каких-либо конкретных свойств продукта и не устанавливает юридически действительных договорных отношений.</w:t>
      </w:r>
    </w:p>
    <w:p>
      <w:pPr>
        <w:spacing w:after="60" w:before="120"/>
      </w:pPr>
      <w:r>
        <w:rPr>
          <w:b/>
          <w:bCs/>
        </w:rPr>
        <w:t xml:space="preserve">Соответствующие фразы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H301 Токсично при проглатывании.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H310 Смертельно при контакте с кожей.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H314 Вызывает серьёзные ожоги кожи и повреждения глаз.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H317 Может вызвать аллергическую кожную реакцию.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H318 Вызывает серьёзное повреждение глаз.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H330 Смертельно при вдыхании.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H400 Очень токсично для водных организмов.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H410 Очень токсично для водных организмов с долгосрочными последствиями.</w:t>
      </w:r>
    </w:p>
    <w:p>
      <w:pPr>
        <w:pBdr>
          <w:left w:val="single" w:color="1F3864" w:sz="18" w:space="8"/>
        </w:pBdr>
        <w:spacing w:after="100" w:before="100"/>
        <w:ind w:left="10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Классификация смеси в целом основана на расчётном методе с использованием данных по веществам согласно Регламенту (ЕС) № 1272/2008.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Отдел, выпустивший паспорт безопасности: Отдел безопасности продукции</w:t>
      </w:r>
    </w:p>
    <w:p>
      <w:pPr>
        <w:spacing w:after="80"/>
      </w:pPr>
      <w:r>
        <w:rPr>
          <w:b w:val="false"/>
          <w:bCs w:val="false"/>
          <w:i w:val="false"/>
          <w:iCs w:val="false"/>
        </w:rPr>
        <w:t xml:space="preserve">Контакт: Отдел безопасности продукции, тел.: +49 (0)731 4097 207, email: msds.info@uzin-utz.com</w:t>
      </w:r>
    </w:p>
    <w:p>
      <w:pPr>
        <w:spacing w:after="60" w:before="120"/>
      </w:pPr>
      <w:r>
        <w:rPr>
          <w:b/>
          <w:bCs/>
        </w:rPr>
        <w:t xml:space="preserve">Сокращения и акронимы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RID: Международные правила перевозки опасных грузов по железной дороге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ICAO: Международная организация гражданской авиации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ADR: Европейское соглашение о международной дорожной перевозке опасных грузов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IMDG: Международный морской кодекс по опасным грузам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IATA: Международная ассоциация воздушного транспорта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GHS: Согласованная на глобальном уровне система классификации и маркировки химических веществ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EINECS: Европейский перечень существующих коммерческих химических веществ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ELINCS: Европейский список зарегистрированных химических веществ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CAS: Chemical Abstracts Service (подразделение Американского химического общества)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PBT: Стойкое, биоаккумулятивное и токсичное вещество (СБТ)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vPvB: Очень стойкое и очень биоаккумулятивное вещество (оСБсБ)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Acute Tox. 3: Острая токсичность — категория 3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Acute Tox. 2: Острая токсичность — категория 2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Skin Corr. 1C: Разъедание/раздражение кожи — категория 1C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Eye Dam. 1: Серьёзное повреждение/раздражение глаз — категория 1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Skin Sens. 1A: Сенсибилизация кожи — категория 1A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Aquatic Acute 1: Опасно для водной среды — острая водная опасность — категория 1</w:t>
      </w:r>
    </w:p>
    <w:p>
      <w:pPr>
        <w:pStyle w:val="ListParagraph"/>
        <w:numPr>
          <w:ilvl w:val="0"/>
          <w:numId w:val="1"/>
        </w:numPr>
        <w:spacing w:after="0"/>
      </w:pPr>
      <w:r>
        <w:t xml:space="preserve">Aquatic Chronic 1: Опасно для водной среды — долгосрочная водная опасность — категория 1</w:t>
      </w:r>
    </w:p>
    <w:p>
      <w:pPr>
        <w:spacing w:after="0"/>
      </w:pPr>
      <w:r>
        <w:rPr>
          <w:b w:val="false"/>
          <w:bCs w:val="false"/>
          <w:i w:val="false"/>
          <w:iCs w:val="false"/>
        </w:rPr>
        <w:t xml:space="preserve">* Данные изменены по сравнению с предыдущей версией.</w:t>
      </w:r>
    </w:p>
    <w:p>
      <w:pPr>
        <w:spacing w:after="200"/>
      </w:pP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2026-07-13T11:57:12.538Z</dcterms:created>
  <dcterms:modified xsi:type="dcterms:W3CDTF">2026-07-13T11:57:12.552Z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