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b/>
          <w:bCs/>
          <w:sz w:val="32"/>
          <w:szCs w:val="32"/>
        </w:rPr>
        <w:t xml:space="preserve">Паспорт безопасности</w:t>
      </w:r>
    </w:p>
    <w:p>
      <w:pPr>
        <w:spacing w:after="200"/>
        <w:jc w:val="center"/>
      </w:pPr>
      <w:r>
        <w:rPr>
          <w:i/>
          <w:iCs/>
        </w:rPr>
        <w:t xml:space="preserve">согласно 1907/2006/EC, Статья 31</w:t>
      </w:r>
    </w:p>
    <w:p>
      <w:pPr>
        <w:pBdr>
          <w:bottom w:val="single" w:color="000000" w:sz="6" w:space="4"/>
        </w:pBdr>
        <w:spacing w:after="300"/>
        <w:jc w:val="center"/>
      </w:pPr>
      <w:r>
        <w:rPr>
          <w:b/>
          <w:bCs/>
          <w:sz w:val="26"/>
          <w:szCs w:val="26"/>
        </w:rPr>
        <w:t xml:space="preserve">UZIN KE 66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1.1 Идентификатор продукта</w:t>
      </w:r>
    </w:p>
    <w:p>
      <w:pPr>
        <w:spacing w:after="80"/>
      </w:pPr>
      <w:r>
        <w:t xml:space="preserve">Торговое название: UZIN KE 66</w:t>
      </w:r>
    </w:p>
    <w:p>
      <w:pPr>
        <w:spacing w:after="60" w:before="120"/>
      </w:pPr>
      <w:r>
        <w:rPr>
          <w:b/>
          <w:bCs/>
        </w:rPr>
        <w:t xml:space="preserve">1.2 Соответствующие установленные виды использования вещества или смеси и виды использования, не рекомендуемые к применению</w:t>
      </w:r>
    </w:p>
    <w:p>
      <w:pPr>
        <w:spacing w:after="80"/>
      </w:pPr>
      <w:r>
        <w:t xml:space="preserve">Особых требований нет.</w:t>
      </w:r>
    </w:p>
    <w:p>
      <w:pPr>
        <w:spacing w:after="60" w:before="120"/>
      </w:pPr>
      <w:r>
        <w:rPr>
          <w:b/>
          <w:bCs/>
        </w:rPr>
        <w:t xml:space="preserve">Сектор применения</w:t>
      </w:r>
    </w:p>
    <w:p>
      <w:pPr>
        <w:spacing w:after="80"/>
      </w:pPr>
      <w:r>
        <w:t xml:space="preserve">SU19 Строительные работы</w:t>
      </w:r>
    </w:p>
    <w:p>
      <w:pPr>
        <w:spacing w:after="80"/>
      </w:pPr>
      <w:r>
        <w:t xml:space="preserve">SU22 Профессиональное использование: общественная сфера (администрирование, образование, развлечения, услуги, ремесленники)</w:t>
      </w:r>
    </w:p>
    <w:p>
      <w:pPr>
        <w:spacing w:after="80"/>
      </w:pPr>
      <w:r>
        <w:t xml:space="preserve">SU21 Потребительское использование: частные домохозяйства/широкая публика/потребители</w:t>
      </w:r>
    </w:p>
    <w:p>
      <w:pPr>
        <w:spacing w:after="60" w:before="120"/>
      </w:pPr>
      <w:r>
        <w:rPr>
          <w:b/>
          <w:bCs/>
        </w:rPr>
        <w:t xml:space="preserve">Категория продукта</w:t>
      </w:r>
    </w:p>
    <w:p>
      <w:pPr>
        <w:spacing w:after="80"/>
      </w:pPr>
      <w:r>
        <w:t xml:space="preserve">PC1 Клеи, герметики</w:t>
      </w:r>
    </w:p>
    <w:p>
      <w:pPr>
        <w:spacing w:after="60" w:before="120"/>
      </w:pPr>
      <w:r>
        <w:rPr>
          <w:b/>
          <w:bCs/>
        </w:rPr>
        <w:t xml:space="preserve">Применение вещества/смеси</w:t>
      </w:r>
    </w:p>
    <w:p>
      <w:pPr>
        <w:spacing w:after="80"/>
      </w:pPr>
      <w:r>
        <w:t xml:space="preserve">Волокноармированный проводящий дисперсионный клей</w:t>
      </w:r>
    </w:p>
    <w:p>
      <w:pPr>
        <w:spacing w:after="60" w:before="120"/>
      </w:pPr>
      <w:r>
        <w:rPr>
          <w:b/>
          <w:bCs/>
        </w:rPr>
        <w:t xml:space="preserve">1.3 Данные поставщика паспорта безопасности</w:t>
      </w:r>
    </w:p>
    <w:p>
      <w:pPr>
        <w:spacing w:after="80"/>
      </w:pPr>
      <w:r>
        <w:t xml:space="preserve">Производитель: UZIN UTZ AG, Dieselstraße 3, D-89079 Ulm. Тел.: +49 (0)731 4097-0. Факс: +49 (0)731 4097-110</w:t>
      </w:r>
    </w:p>
    <w:p>
      <w:pPr>
        <w:spacing w:after="80"/>
      </w:pPr>
      <w:r>
        <w:t xml:space="preserve">Поставщик в Великобритании: Uzin Utz UK Ltd., Unit 2, Mitchell Court, Central Park, Rugby, Warwickshire, CV23 0UY. Тел. +44 (0) 1788 530 080. Факс +44 (0) 1788 536508. Email info@uk.uzin-utz.com</w:t>
      </w:r>
    </w:p>
    <w:p>
      <w:pPr>
        <w:spacing w:after="80"/>
      </w:pPr>
      <w:r>
        <w:t xml:space="preserve">Дополнительную информацию можно получить: Отдел безопасности продукции, email: msds.info@uzin-utz.com</w:t>
      </w:r>
    </w:p>
    <w:p>
      <w:pPr>
        <w:spacing w:after="60" w:before="120"/>
      </w:pPr>
      <w:r>
        <w:rPr>
          <w:b/>
          <w:bCs/>
        </w:rPr>
        <w:t xml:space="preserve">1.4 Номер телефона для экстренных случаев</w:t>
      </w:r>
    </w:p>
    <w:p>
      <w:pPr>
        <w:spacing w:after="80"/>
      </w:pPr>
      <w:r>
        <w:t xml:space="preserve">Медицинские экстренные случаи (Информационный токсикологический центр GIZ-Nord): +49 551 19240</w:t>
      </w:r>
    </w:p>
    <w:p>
      <w:pPr>
        <w:spacing w:after="80"/>
      </w:pPr>
      <w:r>
        <w:t xml:space="preserve">Экстренные случаи при транспортировке: +49 621 60 43 333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2: Идентификация опасности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2.1 Классификация вещества или смеси</w:t>
      </w:r>
    </w:p>
    <w:p>
      <w:pPr>
        <w:spacing w:after="80"/>
      </w:pPr>
      <w:r>
        <w:t xml:space="preserve">Продукт не классифицирован согласно регламенту CLP.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</w:t>
      </w:r>
    </w:p>
    <w:p>
      <w:pPr>
        <w:spacing w:after="80"/>
      </w:pPr>
      <w:r>
        <w:t xml:space="preserve">Горячая линия по вопросам аллергии +49 (0)731 4097-0</w:t>
      </w:r>
    </w:p>
    <w:p>
      <w:pPr>
        <w:spacing w:after="60" w:before="120"/>
      </w:pPr>
      <w:r>
        <w:rPr>
          <w:b/>
          <w:bCs/>
        </w:rPr>
        <w:t xml:space="preserve">2.2 Элементы маркировки</w:t>
      </w:r>
    </w:p>
    <w:p>
      <w:pPr>
        <w:spacing w:after="80"/>
      </w:pPr>
      <w:r>
        <w:t xml:space="preserve">Маркировка согласно Регламенту (ЕС) № 1272/2008: Void</w:t>
      </w:r>
    </w:p>
    <w:p>
      <w:pPr>
        <w:spacing w:after="80"/>
      </w:pPr>
      <w:r>
        <w:t xml:space="preserve">Пиктограммы опасности: Void</w:t>
      </w:r>
    </w:p>
    <w:p>
      <w:pPr>
        <w:spacing w:after="80"/>
      </w:pPr>
      <w:r>
        <w:t xml:space="preserve">Сигнальное слово: Void</w:t>
      </w:r>
    </w:p>
    <w:p>
      <w:pPr>
        <w:spacing w:after="80"/>
      </w:pPr>
      <w:r>
        <w:t xml:space="preserve">Указания на опасность: Void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</w:t>
      </w:r>
    </w:p>
    <w:p>
      <w:pPr>
        <w:spacing w:after="80"/>
      </w:pPr>
      <w:r>
        <w:t xml:space="preserve">EUH208 Содержит смесь: 5-хлор-2-метил-4-изотиазолин-3-он и 2-метил-2H-изотиазол-3-он (3:1), 1,2-бензизотиазол-3(2H)-он. Может вызывать аллергическую реакцию.</w:t>
      </w:r>
    </w:p>
    <w:p>
      <w:pPr>
        <w:spacing w:after="60" w:before="120"/>
      </w:pPr>
      <w:r>
        <w:rPr>
          <w:b/>
          <w:bCs/>
        </w:rPr>
        <w:t xml:space="preserve">2.3 Прочие опасности</w:t>
      </w:r>
    </w:p>
    <w:p>
      <w:pPr>
        <w:spacing w:after="60" w:before="120"/>
      </w:pPr>
      <w:r>
        <w:rPr>
          <w:b/>
          <w:bCs/>
        </w:rPr>
        <w:t xml:space="preserve">Результаты оценки на СБТ и оСБсБ</w:t>
      </w:r>
    </w:p>
    <w:p>
      <w:pPr>
        <w:spacing w:after="80"/>
      </w:pPr>
      <w:r>
        <w:t xml:space="preserve">СБТ: не применимо.</w:t>
      </w:r>
    </w:p>
    <w:p>
      <w:pPr>
        <w:spacing w:after="80"/>
      </w:pPr>
      <w:r>
        <w:t xml:space="preserve">оСБсБ: не применимо.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3: Состав/информация о компонентах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3.2 Смеси</w:t>
      </w:r>
    </w:p>
    <w:p>
      <w:pPr>
        <w:spacing w:after="80"/>
      </w:pPr>
      <w:r>
        <w:t xml:space="preserve">Описание: дисперсионный клей. Не содержит растворителей, не содержит жидких органических соединений с температурой кипения &lt; 200 °C.</w:t>
      </w:r>
    </w:p>
    <w:p>
      <w:pPr>
        <w:spacing w:after="60" w:before="120"/>
      </w:pPr>
      <w:r>
        <w:rPr>
          <w:b/>
          <w:bCs/>
        </w:rPr>
        <w:t xml:space="preserve">Опасные компоненты</w:t>
      </w:r>
    </w:p>
    <w:tbl>
      <w:tblPr>
        <w:tblW w:type="pct" w:w="100%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100"/>
        <w:gridCol w:w="100"/>
        <w:gridCol w:w="100"/>
        <w:gridCol w:w="100"/>
      </w:tblGrid>
      <w:tr>
        <w:tc>
          <w:tcPr>
            <w:shd w:fill="D9E2F3"/>
          </w:tcPr>
          <w:p>
            <w:r>
              <w:rPr>
                <w:b/>
                <w:bCs/>
              </w:rPr>
              <w:t xml:space="preserve">CAS/EINECS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Наименование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Классификация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Концентрация</w:t>
            </w:r>
          </w:p>
        </w:tc>
      </w:tr>
      <w:tr>
        <w:tc>
          <w:p>
            <w:r>
              <w:t xml:space="preserve">CAS: 2634-33-5
EINECS: 220-120-9</w:t>
            </w:r>
          </w:p>
        </w:tc>
        <w:tc>
          <w:p>
            <w:r>
              <w:t xml:space="preserve">1,2-бензизотиазол-3(2H)-он</w:t>
            </w:r>
          </w:p>
        </w:tc>
        <w:tc>
          <w:p>
            <w:r>
              <w:t xml:space="preserve">Eye Dam. 1, H318; Aquatic Acute 1, H400; Acute Tox. 4, H302; Skin Irrit. 2, H315; Skin Sens. 1, H317
Специфический предел концентрации: Skin Sens. 1; H317: C ≥ 0,05 %</w:t>
            </w:r>
          </w:p>
        </w:tc>
        <w:tc>
          <w:p>
            <w:r>
              <w:t xml:space="preserve">&lt;0,01%</w:t>
            </w:r>
          </w:p>
        </w:tc>
      </w:tr>
      <w:tr>
        <w:tc>
          <w:p>
            <w:r>
              <w:t xml:space="preserve">55965-84-9</w:t>
            </w:r>
          </w:p>
        </w:tc>
        <w:tc>
          <w:p>
            <w:r>
              <w:t xml:space="preserve">Смесь: 5-хлор-2-метил-4-изотиазолин-3-он и 2-метил-2H-изотиазол-3-он (3:1)</w:t>
            </w:r>
          </w:p>
        </w:tc>
        <w:tc>
          <w:p>
            <w:r>
              <w:t xml:space="preserve">Acute Tox. 3, H301; Acute Tox. 2, H310; Acute Tox. 2, H330; Skin Corr. 1C, H314; Eye Dam. 1, H318; Aquatic Acute 1, H400 (M=100); Aquatic Chronic 1, H410 (M=100); Skin Sens. 1A, H317
Специфические предельные концентрации: Skin Corr. 1C; H314: C ≥ 0,6 %; Skin Irrit. 2; H315: 0,06 % ≤ C &lt; 0,6 %; Eye Dam. 1; H318: C ≥ 0,6 %; Eye Irrit. 2; H319: 0,06 % ≤ C &lt; 0,6 %; Skin Sens. 1A; H317: C ≥ 0,0015 %</w:t>
            </w:r>
          </w:p>
        </w:tc>
        <w:tc>
          <w:p>
            <w:r>
              <w:t xml:space="preserve">&lt;0,0015%</w:t>
            </w:r>
          </w:p>
        </w:tc>
      </w:tr>
    </w:tbl>
    <w:p>
      <w:pPr>
        <w:spacing w:after="80"/>
      </w:pPr>
      <w:r>
        <w:rPr>
          <w:i/>
          <w:iCs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</w:t>
      </w:r>
    </w:p>
    <w:p>
      <w:pPr>
        <w:spacing w:after="80"/>
      </w:pPr>
      <w:r>
        <w:t xml:space="preserve">Формулировки указанных фраз опасности приведены в разделе 16.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4: Меры первой помощи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4.1 Описание мер первой помощи</w:t>
      </w:r>
    </w:p>
    <w:p>
      <w:pPr>
        <w:spacing w:after="60" w:before="120"/>
      </w:pPr>
      <w:r>
        <w:rPr>
          <w:b/>
          <w:bCs/>
        </w:rPr>
        <w:t xml:space="preserve">Общая информация</w:t>
      </w:r>
    </w:p>
    <w:p>
      <w:pPr>
        <w:spacing w:after="80"/>
      </w:pPr>
      <w:r>
        <w:t xml:space="preserve">Особых мер не требуется.</w:t>
      </w:r>
    </w:p>
    <w:p>
      <w:pPr>
        <w:spacing w:after="60" w:before="120"/>
      </w:pPr>
      <w:r>
        <w:rPr>
          <w:b/>
          <w:bCs/>
        </w:rPr>
        <w:t xml:space="preserve">После вдыхания</w:t>
      </w:r>
    </w:p>
    <w:p>
      <w:pPr>
        <w:spacing w:after="80"/>
      </w:pPr>
      <w:r>
        <w:t xml:space="preserve">Обеспечить приток свежего воздуха.</w:t>
      </w:r>
    </w:p>
    <w:p>
      <w:pPr>
        <w:spacing w:after="60" w:before="120"/>
      </w:pPr>
      <w:r>
        <w:rPr>
          <w:b/>
          <w:bCs/>
        </w:rPr>
        <w:t xml:space="preserve">После контакта с кожей</w:t>
      </w:r>
    </w:p>
    <w:p>
      <w:pPr>
        <w:spacing w:after="80"/>
      </w:pPr>
      <w:r>
        <w:t xml:space="preserve">Немедленно промыть водой с мылом и тщательно ополоснуть.</w:t>
      </w:r>
    </w:p>
    <w:p>
      <w:pPr>
        <w:spacing w:after="60" w:before="120"/>
      </w:pPr>
      <w:r>
        <w:rPr>
          <w:b/>
          <w:bCs/>
        </w:rPr>
        <w:t xml:space="preserve">После контакта с глазами</w:t>
      </w:r>
    </w:p>
    <w:p>
      <w:pPr>
        <w:spacing w:after="80"/>
      </w:pPr>
      <w:r>
        <w:t xml:space="preserve">Промывать открытый глаз в течение нескольких минут под проточной водой. Затем обратиться к врачу.</w:t>
      </w:r>
    </w:p>
    <w:p>
      <w:pPr>
        <w:spacing w:after="60" w:before="120"/>
      </w:pPr>
      <w:r>
        <w:rPr>
          <w:b/>
          <w:bCs/>
        </w:rPr>
        <w:t xml:space="preserve">После проглатывания</w:t>
      </w:r>
    </w:p>
    <w:p>
      <w:pPr>
        <w:spacing w:after="80"/>
      </w:pPr>
      <w:r>
        <w:t xml:space="preserve">Не вызывать рвоту; немедленно вызвать медицинскую помощь.</w:t>
      </w:r>
    </w:p>
    <w:p>
      <w:pPr>
        <w:spacing w:after="60" w:before="120"/>
      </w:pPr>
      <w:r>
        <w:rPr>
          <w:b/>
          <w:bCs/>
        </w:rPr>
        <w:t xml:space="preserve">4.2 Наиболее важные симптомы и эффекты, острые и отсроченные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4.3 Указание на необходимость немедленной медицинской помощи и специального лечения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5: Меры пожаротушения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5.1 Средства пожаротушения</w:t>
      </w:r>
    </w:p>
    <w:p>
      <w:pPr>
        <w:spacing w:after="60" w:before="120"/>
      </w:pPr>
      <w:r>
        <w:rPr>
          <w:b/>
          <w:bCs/>
        </w:rPr>
        <w:t xml:space="preserve">Подходящие средства пожаротушения</w:t>
      </w:r>
    </w:p>
    <w:p>
      <w:pPr>
        <w:spacing w:after="80"/>
      </w:pPr>
      <w:r>
        <w:t xml:space="preserve">CO₂, порошок или водяное распыление. При крупных пожарах — водяное распыление или спиртостойкая пена.</w:t>
      </w:r>
    </w:p>
    <w:p>
      <w:pPr>
        <w:spacing w:after="60" w:before="120"/>
      </w:pPr>
      <w:r>
        <w:rPr>
          <w:b/>
          <w:bCs/>
        </w:rPr>
        <w:t xml:space="preserve">Средства пожаротушения, непригодные по соображениям безопасности</w:t>
      </w:r>
    </w:p>
    <w:p>
      <w:pPr>
        <w:spacing w:after="80"/>
      </w:pPr>
      <w:r>
        <w:t xml:space="preserve">Вода со сплошной струёй.</w:t>
      </w:r>
    </w:p>
    <w:p>
      <w:pPr>
        <w:spacing w:after="60" w:before="120"/>
      </w:pPr>
      <w:r>
        <w:rPr>
          <w:b/>
          <w:bCs/>
        </w:rPr>
        <w:t xml:space="preserve">5.2 Особые опасности, исходящие от вещества или смеси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5.3 Рекомендации для пожарных</w:t>
      </w:r>
    </w:p>
    <w:p>
      <w:pPr>
        <w:spacing w:after="60" w:before="120"/>
      </w:pPr>
      <w:r>
        <w:rPr>
          <w:b/>
          <w:bCs/>
        </w:rPr>
        <w:t xml:space="preserve">Защитное оборудование</w:t>
      </w:r>
    </w:p>
    <w:p>
      <w:pPr>
        <w:spacing w:after="80"/>
      </w:pPr>
      <w:r>
        <w:t xml:space="preserve">Особых мер не требуется.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6.1 Меры личной предосторожности, защитное оборудование и порядок действий в чрезвычайной ситуации</w:t>
      </w:r>
    </w:p>
    <w:p>
      <w:pPr>
        <w:spacing w:after="80"/>
      </w:pPr>
      <w:r>
        <w:t xml:space="preserve">Особых мер не требуется.</w:t>
      </w:r>
    </w:p>
    <w:p>
      <w:pPr>
        <w:spacing w:after="60" w:before="120"/>
      </w:pPr>
      <w:r>
        <w:rPr>
          <w:b/>
          <w:bCs/>
        </w:rPr>
        <w:t xml:space="preserve">6.2 Меры предосторожности для окружающей среды</w:t>
      </w:r>
    </w:p>
    <w:p>
      <w:pPr>
        <w:spacing w:after="80"/>
      </w:pPr>
      <w:r>
        <w:t xml:space="preserve">Не допускать попадания в канализацию, поверхностные или грунтовые воды.</w:t>
      </w:r>
    </w:p>
    <w:p>
      <w:pPr>
        <w:spacing w:after="60" w:before="120"/>
      </w:pPr>
      <w:r>
        <w:rPr>
          <w:b/>
          <w:bCs/>
        </w:rPr>
        <w:t xml:space="preserve">6.3 Методы и материалы для локализации и очистки</w:t>
      </w:r>
    </w:p>
    <w:p>
      <w:pPr>
        <w:spacing w:after="80"/>
      </w:pPr>
      <w:r>
        <w:t xml:space="preserve">Собрать с помощью жидкосвязывающего материала (песок, диатомит, кислотосвязывающие вещества, универсальные сорбенты, опилки).</w:t>
      </w:r>
    </w:p>
    <w:p>
      <w:pPr>
        <w:spacing w:after="60" w:before="120"/>
      </w:pPr>
      <w:r>
        <w:rPr>
          <w:b/>
          <w:bCs/>
        </w:rPr>
        <w:t xml:space="preserve">6.4 Ссылка на другие разделы</w:t>
      </w:r>
    </w:p>
    <w:p>
      <w:pPr>
        <w:spacing w:after="80"/>
      </w:pPr>
      <w:r>
        <w:t xml:space="preserve">См. раздел 7 — сведения о безопасном обращении.</w:t>
      </w:r>
    </w:p>
    <w:p>
      <w:pPr>
        <w:spacing w:after="80"/>
      </w:pPr>
      <w:r>
        <w:t xml:space="preserve">См. раздел 8 — сведения о средствах индивидуальной защиты.</w:t>
      </w:r>
    </w:p>
    <w:p>
      <w:pPr>
        <w:spacing w:after="80"/>
      </w:pPr>
      <w:r>
        <w:t xml:space="preserve">См. раздел 13 — сведения по утилизации.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7: Обращение и хранение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7.1 Меры предосторожности для безопасного обращения</w:t>
      </w:r>
    </w:p>
    <w:p>
      <w:pPr>
        <w:spacing w:after="0"/>
      </w:pPr>
      <w:r>
        <w:t xml:space="preserve">● Избегать контакта с глазами и кожей.</w:t>
      </w:r>
    </w:p>
    <w:p>
      <w:pPr>
        <w:spacing w:after="0"/>
      </w:pPr>
      <w:r>
        <w:t xml:space="preserve">● Немедленно промывать инструменты водой с мылом после использования.</w:t>
      </w:r>
    </w:p>
    <w:p>
      <w:pPr>
        <w:spacing w:after="0"/>
      </w:pPr>
      <w:r>
        <w:t xml:space="preserve">● Хранить в недоступном для детей месте.</w:t>
      </w:r>
    </w:p>
    <w:p>
      <w:pPr>
        <w:spacing w:after="0"/>
      </w:pPr>
      <w:r>
        <w:t xml:space="preserve">● Мыть руки перед перерывами и по окончании работы.</w:t>
      </w:r>
    </w:p>
    <w:p>
      <w:pPr>
        <w:spacing w:after="60" w:before="120"/>
      </w:pPr>
      <w:r>
        <w:rPr>
          <w:b/>
          <w:bCs/>
        </w:rPr>
        <w:t xml:space="preserve">Информация по пожаро- и взрывобезопасности</w:t>
      </w:r>
    </w:p>
    <w:p>
      <w:pPr>
        <w:spacing w:after="80"/>
      </w:pPr>
      <w:r>
        <w:t xml:space="preserve">Особых мер не требуется.</w:t>
      </w:r>
    </w:p>
    <w:p>
      <w:pPr>
        <w:spacing w:after="60" w:before="120"/>
      </w:pPr>
      <w:r>
        <w:rPr>
          <w:b/>
          <w:bCs/>
        </w:rPr>
        <w:t xml:space="preserve">7.2 Условия безопасного хранения с учётом несовместимости</w:t>
      </w:r>
    </w:p>
    <w:p>
      <w:pPr>
        <w:spacing w:after="60" w:before="120"/>
      </w:pPr>
      <w:r>
        <w:rPr>
          <w:b/>
          <w:bCs/>
        </w:rPr>
        <w:t xml:space="preserve">Требования к складским помещениям и ёмкостям</w:t>
      </w:r>
    </w:p>
    <w:p>
      <w:pPr>
        <w:spacing w:after="80"/>
      </w:pPr>
      <w:r>
        <w:t xml:space="preserve">Особых требований нет.</w:t>
      </w:r>
    </w:p>
    <w:p>
      <w:pPr>
        <w:spacing w:after="60" w:before="120"/>
      </w:pPr>
      <w:r>
        <w:rPr>
          <w:b/>
          <w:bCs/>
        </w:rPr>
        <w:t xml:space="preserve">Информация о совместном хранении</w:t>
      </w:r>
    </w:p>
    <w:p>
      <w:pPr>
        <w:spacing w:after="80"/>
      </w:pPr>
      <w:r>
        <w:t xml:space="preserve">Не требуется.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 об условиях хранения</w:t>
      </w:r>
    </w:p>
    <w:p>
      <w:pPr>
        <w:spacing w:after="80"/>
      </w:pPr>
      <w:r>
        <w:t xml:space="preserve">Беречь от мороза.</w:t>
      </w:r>
    </w:p>
    <w:p>
      <w:pPr>
        <w:spacing w:after="60" w:before="120"/>
      </w:pPr>
      <w:r>
        <w:rPr>
          <w:b/>
          <w:bCs/>
        </w:rPr>
        <w:t xml:space="preserve">7.3 Особые конечные применения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8: Контроль воздействия/средства индивидуальной защиты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8.1 Параметры контроля</w:t>
      </w:r>
    </w:p>
    <w:p>
      <w:pPr>
        <w:spacing w:after="60" w:before="120"/>
      </w:pPr>
      <w:r>
        <w:rPr>
          <w:b/>
          <w:bCs/>
        </w:rPr>
        <w:t xml:space="preserve">Компоненты с предельными значениями, подлежащими контролю на рабочем месте</w:t>
      </w:r>
    </w:p>
    <w:p>
      <w:pPr>
        <w:spacing w:after="80"/>
      </w:pPr>
      <w:r>
        <w:t xml:space="preserve">Продукт не содержит значимых количеств веществ с критическими значениями, подлежащими контролю на рабочем месте.</w:t>
      </w:r>
    </w:p>
    <w:p>
      <w:pPr>
        <w:spacing w:after="60" w:before="120"/>
      </w:pPr>
      <w:r>
        <w:rPr>
          <w:b/>
          <w:bCs/>
        </w:rPr>
        <w:t xml:space="preserve">8.2 Контроль воздействия</w:t>
      </w:r>
    </w:p>
    <w:p>
      <w:pPr>
        <w:spacing w:after="60" w:before="120"/>
      </w:pPr>
      <w:r>
        <w:rPr>
          <w:b/>
          <w:bCs/>
        </w:rPr>
        <w:t xml:space="preserve">Соответствующие технические меры контроля</w:t>
      </w:r>
    </w:p>
    <w:p>
      <w:pPr>
        <w:spacing w:after="80"/>
      </w:pPr>
      <w:r>
        <w:t xml:space="preserve">Дополнительных данных нет; см. раздел 7.</w:t>
      </w:r>
    </w:p>
    <w:p>
      <w:pPr>
        <w:spacing w:after="60" w:before="120"/>
      </w:pPr>
      <w:r>
        <w:rPr>
          <w:b/>
          <w:bCs/>
        </w:rPr>
        <w:t xml:space="preserve">Индивидуальные меры защиты, включая средства индивидуальной защиты</w:t>
      </w:r>
    </w:p>
    <w:p>
      <w:pPr>
        <w:spacing w:after="60" w:before="120"/>
      </w:pPr>
      <w:r>
        <w:rPr>
          <w:b/>
          <w:bCs/>
        </w:rPr>
        <w:t xml:space="preserve">Общие защитные и гигиенические меры</w:t>
      </w:r>
    </w:p>
    <w:p>
      <w:pPr>
        <w:spacing w:after="0"/>
      </w:pPr>
      <w:r>
        <w:t xml:space="preserve">● Соблюдать обычные меры предосторожности при обращении с химическими веществами.</w:t>
      </w:r>
    </w:p>
    <w:p>
      <w:pPr>
        <w:spacing w:after="0"/>
      </w:pPr>
      <w:r>
        <w:t xml:space="preserve">● Избегать контакта с глазами и кожей.</w:t>
      </w:r>
    </w:p>
    <w:p>
      <w:pPr>
        <w:spacing w:after="0"/>
      </w:pPr>
      <w:r>
        <w:t xml:space="preserve">● Не есть, не пить, не курить и не нюхать табак во время работы.</w:t>
      </w:r>
    </w:p>
    <w:p>
      <w:pPr>
        <w:spacing w:after="0"/>
      </w:pPr>
      <w:r>
        <w:t xml:space="preserve">● Мыть руки перед перерывами и по окончании работы.</w:t>
      </w:r>
    </w:p>
    <w:p>
      <w:pPr>
        <w:spacing w:after="60" w:before="120"/>
      </w:pPr>
      <w:r>
        <w:rPr>
          <w:b/>
          <w:bCs/>
        </w:rPr>
        <w:t xml:space="preserve">Защита органов дыхания</w:t>
      </w:r>
    </w:p>
    <w:p>
      <w:pPr>
        <w:spacing w:after="80"/>
      </w:pPr>
      <w:r>
        <w:t xml:space="preserve">Не требуется. Необходимо обеспечить тщательную вентиляцию во время и после укладки и высыхания продукта.</w:t>
      </w:r>
    </w:p>
    <w:p>
      <w:pPr>
        <w:spacing w:after="60" w:before="120"/>
      </w:pPr>
      <w:r>
        <w:rPr>
          <w:b/>
          <w:bCs/>
        </w:rPr>
        <w:t xml:space="preserve">Защита рук</w:t>
      </w:r>
    </w:p>
    <w:p>
      <w:pPr>
        <w:spacing w:after="80"/>
      </w:pPr>
      <w:r>
        <w:t xml:space="preserve">ПВХ- или ПЭ-перчатки (EN 374).</w:t>
      </w:r>
    </w:p>
    <w:p>
      <w:pPr>
        <w:spacing w:after="60" w:before="120"/>
      </w:pPr>
      <w:r>
        <w:rPr>
          <w:b/>
          <w:bCs/>
        </w:rPr>
        <w:t xml:space="preserve">Материал перчаток</w:t>
      </w:r>
    </w:p>
    <w:p>
      <w:pPr>
        <w:spacing w:after="80"/>
      </w:pPr>
      <w:r>
        <w:t xml:space="preserve">ПВХ- или ПЭ-перчатки (EN 374).</w:t>
      </w:r>
    </w:p>
    <w:p>
      <w:pPr>
        <w:spacing w:after="60" w:before="120"/>
      </w:pPr>
      <w:r>
        <w:rPr>
          <w:b/>
          <w:bCs/>
        </w:rPr>
        <w:t xml:space="preserve">Время проникновения материала перчаток</w:t>
      </w:r>
    </w:p>
    <w:p>
      <w:pPr>
        <w:spacing w:after="80"/>
      </w:pPr>
      <w:r>
        <w:t xml:space="preserve">Точное время прорыва должно быть установлено производителем защитных перчаток и соблюдаться.</w:t>
      </w:r>
    </w:p>
    <w:p>
      <w:pPr>
        <w:spacing w:after="60" w:before="120"/>
      </w:pPr>
      <w:r>
        <w:rPr>
          <w:b/>
          <w:bCs/>
        </w:rPr>
        <w:t xml:space="preserve">Защита глаз/лица</w:t>
      </w:r>
    </w:p>
    <w:p>
      <w:pPr>
        <w:spacing w:after="80"/>
      </w:pPr>
      <w:r>
        <w:t xml:space="preserve">Защитные очки (EN 166).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9.1 Сведения об основных физических и химических свойствах</w:t>
      </w:r>
    </w:p>
    <w:p>
      <w:pPr>
        <w:spacing w:after="80"/>
      </w:pPr>
      <w:r>
        <w:t xml:space="preserve">Агрегатное состояние: жидкое (текучее)</w:t>
      </w:r>
    </w:p>
    <w:p>
      <w:pPr>
        <w:spacing w:after="80"/>
      </w:pPr>
      <w:r>
        <w:t xml:space="preserve">Цвет: белый</w:t>
      </w:r>
    </w:p>
    <w:p>
      <w:pPr>
        <w:spacing w:after="80"/>
      </w:pPr>
      <w:r>
        <w:t xml:space="preserve">Запах: слабый, специфический</w:t>
      </w:r>
    </w:p>
    <w:p>
      <w:pPr>
        <w:spacing w:after="80"/>
      </w:pPr>
      <w:r>
        <w:t xml:space="preserve">Порог восприятия запаха: не определён.</w:t>
      </w:r>
    </w:p>
    <w:p>
      <w:pPr>
        <w:spacing w:after="80"/>
      </w:pPr>
      <w:r>
        <w:t xml:space="preserve">Точка плавления/замерзания: не определена.</w:t>
      </w:r>
    </w:p>
    <w:p>
      <w:pPr>
        <w:spacing w:after="80"/>
      </w:pPr>
      <w:r>
        <w:t xml:space="preserve">Точка кипения или начальная точка кипения и диапазон кипения: не определены.</w:t>
      </w:r>
    </w:p>
    <w:p>
      <w:pPr>
        <w:spacing w:after="80"/>
      </w:pPr>
      <w:r>
        <w:t xml:space="preserve">Воспламеняемость: не применимо.</w:t>
      </w:r>
    </w:p>
    <w:p>
      <w:pPr>
        <w:spacing w:after="80"/>
      </w:pPr>
      <w:r>
        <w:t xml:space="preserve">Нижний и верхний пределы взрываемости: не определены.</w:t>
      </w:r>
    </w:p>
    <w:p>
      <w:pPr>
        <w:spacing w:after="80"/>
      </w:pPr>
      <w:r>
        <w:t xml:space="preserve">Температура вспышки: &gt;100 °C.</w:t>
      </w:r>
    </w:p>
    <w:p>
      <w:pPr>
        <w:spacing w:after="80"/>
      </w:pPr>
      <w:r>
        <w:t xml:space="preserve">Температура самовоспламенения: продукт не является самовоспламеняющимся.</w:t>
      </w:r>
    </w:p>
    <w:p>
      <w:pPr>
        <w:spacing w:after="80"/>
      </w:pPr>
      <w:r>
        <w:t xml:space="preserve">Температура разложения: не определена.</w:t>
      </w:r>
    </w:p>
    <w:p>
      <w:pPr>
        <w:spacing w:after="80"/>
      </w:pPr>
      <w:r>
        <w:t xml:space="preserve">pH при 20 °C: 7</w:t>
      </w:r>
    </w:p>
    <w:p>
      <w:pPr>
        <w:spacing w:after="80"/>
      </w:pPr>
      <w:r>
        <w:t xml:space="preserve">Кинематическая вязкость: не определена.</w:t>
      </w:r>
    </w:p>
    <w:p>
      <w:pPr>
        <w:spacing w:after="80"/>
      </w:pPr>
      <w:r>
        <w:t xml:space="preserve">Динамическая вязкость при 20 °C: 45 000 мПа·с.</w:t>
      </w:r>
    </w:p>
    <w:p>
      <w:pPr>
        <w:spacing w:after="60" w:before="120"/>
      </w:pPr>
      <w:r>
        <w:rPr>
          <w:b/>
          <w:bCs/>
        </w:rPr>
        <w:t xml:space="preserve">Растворимость</w:t>
      </w:r>
    </w:p>
    <w:p>
      <w:pPr>
        <w:spacing w:after="80"/>
      </w:pPr>
      <w:r>
        <w:t xml:space="preserve">Вода: диспергируется.</w:t>
      </w:r>
    </w:p>
    <w:p>
      <w:pPr>
        <w:spacing w:after="80"/>
      </w:pPr>
      <w:r>
        <w:t xml:space="preserve">Коэффициент распределения н-октанол/вода (log-значение): не определён.</w:t>
      </w:r>
    </w:p>
    <w:p>
      <w:pPr>
        <w:spacing w:after="80"/>
      </w:pPr>
      <w:r>
        <w:t xml:space="preserve">Давление паров: не определено.</w:t>
      </w:r>
    </w:p>
    <w:p>
      <w:pPr>
        <w:spacing w:after="80"/>
      </w:pPr>
      <w:r>
        <w:t xml:space="preserve">Плотность при 20 °C: 1,2 г/см³. Относительная плотность: не определена. Плотность паров: не определена.</w:t>
      </w:r>
    </w:p>
    <w:p>
      <w:pPr>
        <w:spacing w:after="60" w:before="120"/>
      </w:pPr>
      <w:r>
        <w:rPr>
          <w:b/>
          <w:bCs/>
        </w:rPr>
        <w:t xml:space="preserve">9.2 Прочая информация</w:t>
      </w:r>
    </w:p>
    <w:p>
      <w:pPr>
        <w:spacing w:after="80"/>
      </w:pPr>
      <w:r>
        <w:t xml:space="preserve">Форма: пастообразная.</w:t>
      </w:r>
    </w:p>
    <w:p>
      <w:pPr>
        <w:spacing w:after="80"/>
      </w:pPr>
      <w:r>
        <w:t xml:space="preserve">Взрывоопасные свойства: продукт не представляет взрывоопасности.</w:t>
      </w:r>
    </w:p>
    <w:p>
      <w:pPr>
        <w:spacing w:after="80"/>
      </w:pPr>
      <w:r>
        <w:t xml:space="preserve">Скорость испарения: не определена.</w:t>
      </w:r>
    </w:p>
    <w:p>
      <w:pPr>
        <w:spacing w:after="60" w:before="120"/>
      </w:pPr>
      <w:r>
        <w:rPr>
          <w:b/>
          <w:bCs/>
        </w:rPr>
        <w:t xml:space="preserve">Информация в отношении классов физической опасности</w:t>
      </w:r>
    </w:p>
    <w:p>
      <w:pPr>
        <w:spacing w:after="80"/>
      </w:pPr>
      <w:r>
        <w:t xml:space="preserve">Взрывчатые вещества — Void; горючие газы — Void; аэрозоли — Void; окисляющие газы — Void; газы под давлением — Void; легковоспламеняющиеся жидкости — Void; легковоспламеняющиеся твёрдые вещества — Void; саморазлагающиеся вещества и смеси — Void; пирофорные жидкости — Void; пирофорные твёрдые вещества — Void; самонагревающиеся вещества и смеси — Void; вещества и смеси, выделяющие легковоспламеняющиеся газы при контакте с водой — Void; окисляющие жидкости — Void; окисляющие твёрдые вещества — Void; органические пероксиды — Void; коррозионное воздействие на металлы — Void; десенсибилизированные взрывчатые вещества — Void.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10.1 Реакционная способность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10.2 Химическая стабильность</w:t>
      </w:r>
    </w:p>
    <w:p>
      <w:pPr>
        <w:spacing w:after="80"/>
      </w:pPr>
      <w:r>
        <w:t xml:space="preserve">Термическое разложение/условия, которых следует избегать: разложения не происходит при использовании по назначению.</w:t>
      </w:r>
    </w:p>
    <w:p>
      <w:pPr>
        <w:spacing w:after="60" w:before="120"/>
      </w:pPr>
      <w:r>
        <w:rPr>
          <w:b/>
          <w:bCs/>
        </w:rPr>
        <w:t xml:space="preserve">10.3 Возможность опасных реакций</w:t>
      </w:r>
    </w:p>
    <w:p>
      <w:pPr>
        <w:spacing w:after="80"/>
      </w:pPr>
      <w:r>
        <w:t xml:space="preserve">Опасных реакций не выявлено.</w:t>
      </w:r>
    </w:p>
    <w:p>
      <w:pPr>
        <w:spacing w:after="60" w:before="120"/>
      </w:pPr>
      <w:r>
        <w:rPr>
          <w:b/>
          <w:bCs/>
        </w:rPr>
        <w:t xml:space="preserve">10.4 Условия, которых следует избегать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10.5 Несовместимые материалы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10.6 Опасные продукты разложения</w:t>
      </w:r>
    </w:p>
    <w:p>
      <w:pPr>
        <w:spacing w:after="80"/>
      </w:pPr>
      <w:r>
        <w:t xml:space="preserve">Опасные продукты разложения неизвестны.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11: Токсикологическая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11.1 Сведения о классах опасности согласно Регламенту (ЕС) № 1272/2008</w:t>
      </w:r>
    </w:p>
    <w:p>
      <w:pPr>
        <w:spacing w:after="60" w:before="120"/>
      </w:pPr>
      <w:r>
        <w:rPr>
          <w:b/>
          <w:bCs/>
        </w:rPr>
        <w:t xml:space="preserve">Острая токсичность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Разъедание/раздражение кожи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Серьёзное повреждение/раздражение глаз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Сенсибилизация дыхательных путей или кожи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Мутагенность зародышевых клеток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Канцерогенность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Репродуктивная токсичность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Специфическая токсичность на органы-мишени (однократное воздействие)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Специфическая токсичность на органы-мишени (повторное воздействие)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Опасность при аспирации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11.2 Информация о прочих опасностях</w:t>
      </w:r>
    </w:p>
    <w:p>
      <w:pPr>
        <w:spacing w:after="60" w:before="120"/>
      </w:pPr>
      <w:r>
        <w:rPr>
          <w:b/>
          <w:bCs/>
        </w:rPr>
        <w:t xml:space="preserve">Свойства эндокринных разрушителей</w:t>
      </w:r>
    </w:p>
    <w:p>
      <w:pPr>
        <w:spacing w:after="80"/>
      </w:pPr>
      <w:r>
        <w:t xml:space="preserve">Ни один из компонентов не включён в соответствующие перечни.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12: Экологическая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12.1 Токсичность</w:t>
      </w:r>
    </w:p>
    <w:p>
      <w:pPr>
        <w:spacing w:after="60" w:before="120"/>
      </w:pPr>
      <w:r>
        <w:rPr>
          <w:b/>
          <w:bCs/>
        </w:rPr>
        <w:t xml:space="preserve">Токсичность для водных организмов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12.2 Стойкость и способность к разложению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12.3 Биоаккумулятивный потенциал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12.4 Подвижность в почве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12.5 Результаты оценки на СБТ и оСБсБ</w:t>
      </w:r>
    </w:p>
    <w:p>
      <w:pPr>
        <w:spacing w:after="80"/>
      </w:pPr>
      <w:r>
        <w:t xml:space="preserve">СБТ: не применимо.</w:t>
      </w:r>
    </w:p>
    <w:p>
      <w:pPr>
        <w:spacing w:after="80"/>
      </w:pPr>
      <w:r>
        <w:t xml:space="preserve">оСБсБ: не применимо.</w:t>
      </w:r>
    </w:p>
    <w:p>
      <w:pPr>
        <w:spacing w:after="60" w:before="120"/>
      </w:pPr>
      <w:r>
        <w:rPr>
          <w:b/>
          <w:bCs/>
        </w:rPr>
        <w:t xml:space="preserve">12.6 Свойства эндокринных разрушителей</w:t>
      </w:r>
    </w:p>
    <w:p>
      <w:pPr>
        <w:spacing w:after="80"/>
      </w:pPr>
      <w:r>
        <w:t xml:space="preserve">Продукт не содержит веществ со свойствами эндокринных разрушителей.</w:t>
      </w:r>
    </w:p>
    <w:p>
      <w:pPr>
        <w:spacing w:after="60" w:before="120"/>
      </w:pPr>
      <w:r>
        <w:rPr>
          <w:b/>
          <w:bCs/>
        </w:rPr>
        <w:t xml:space="preserve">12.7 Прочие неблагоприятные эффекты</w:t>
      </w:r>
    </w:p>
    <w:p>
      <w:pPr>
        <w:spacing w:after="60" w:before="120"/>
      </w:pPr>
      <w:r>
        <w:rPr>
          <w:b/>
          <w:bCs/>
        </w:rPr>
        <w:t xml:space="preserve">Общие указания</w:t>
      </w:r>
    </w:p>
    <w:p>
      <w:pPr>
        <w:spacing w:after="80"/>
      </w:pPr>
      <w:r>
        <w:t xml:space="preserve">Не допускать попадания продукта в грунтовые воды, водоёмы или канализацию.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13: Рекомендации по утилизации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13.1 Методы обращения с отходами</w:t>
      </w:r>
    </w:p>
    <w:p>
      <w:pPr>
        <w:spacing w:after="60" w:before="120"/>
      </w:pPr>
      <w:r>
        <w:rPr>
          <w:b/>
          <w:bCs/>
        </w:rPr>
        <w:t xml:space="preserve">Рекомендация</w:t>
      </w:r>
    </w:p>
    <w:p>
      <w:pPr>
        <w:spacing w:after="80"/>
      </w:pPr>
      <w:r>
        <w:t xml:space="preserve">Не допускать попадания продукта в канализацию. Дать остаткам продукта затвердеть в открытой ёмкости, затем утилизировать как строительные отходы.</w:t>
      </w:r>
    </w:p>
    <w:p>
      <w:pPr>
        <w:spacing w:after="60" w:before="120"/>
      </w:pPr>
      <w:r>
        <w:rPr>
          <w:b/>
          <w:bCs/>
        </w:rPr>
        <w:t xml:space="preserve">Загрязнённая упаковка</w:t>
      </w:r>
    </w:p>
    <w:p>
      <w:pPr>
        <w:spacing w:after="60" w:before="120"/>
      </w:pPr>
      <w:r>
        <w:rPr>
          <w:b/>
          <w:bCs/>
        </w:rPr>
        <w:t xml:space="preserve">Рекомендация</w:t>
      </w:r>
    </w:p>
    <w:p>
      <w:pPr>
        <w:spacing w:after="80"/>
      </w:pPr>
      <w:r>
        <w:t xml:space="preserve">Утилизация должна проводиться согласно официальным нормам. Тщательно очищать загрязнённую упаковку. После тщательной и надлежащей очистки она может быть переработана.</w:t>
      </w:r>
    </w:p>
    <w:p>
      <w:pPr>
        <w:spacing w:after="60" w:before="120"/>
      </w:pPr>
      <w:r>
        <w:rPr>
          <w:b/>
          <w:bCs/>
        </w:rPr>
        <w:t xml:space="preserve">Рекомендуемые чистящие средства</w:t>
      </w:r>
    </w:p>
    <w:p>
      <w:pPr>
        <w:spacing w:after="80"/>
      </w:pPr>
      <w:r>
        <w:t xml:space="preserve">Вода, при необходимости с добавлением чистящих средств.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14: Транспортная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14.1 Номер ООН или идентификационный номер</w:t>
      </w:r>
    </w:p>
    <w:p>
      <w:pPr>
        <w:spacing w:after="80"/>
      </w:pPr>
      <w:r>
        <w:t xml:space="preserve">ADR, ADN, IMDG, IATA: Void</w:t>
      </w:r>
    </w:p>
    <w:p>
      <w:pPr>
        <w:spacing w:after="60" w:before="120"/>
      </w:pPr>
      <w:r>
        <w:rPr>
          <w:b/>
          <w:bCs/>
        </w:rPr>
        <w:t xml:space="preserve">14.2 Надлежащее отгрузочное наименование ООН</w:t>
      </w:r>
    </w:p>
    <w:p>
      <w:pPr>
        <w:spacing w:after="80"/>
      </w:pPr>
      <w:r>
        <w:t xml:space="preserve">ADR, ADN, IMDG, IATA: Void</w:t>
      </w:r>
    </w:p>
    <w:p>
      <w:pPr>
        <w:spacing w:after="60" w:before="120"/>
      </w:pPr>
      <w:r>
        <w:rPr>
          <w:b/>
          <w:bCs/>
        </w:rPr>
        <w:t xml:space="preserve">14.3 Класс(-ы) опасности при транспортировке</w:t>
      </w:r>
    </w:p>
    <w:p>
      <w:pPr>
        <w:spacing w:after="80"/>
      </w:pPr>
      <w:r>
        <w:t xml:space="preserve">ADR, ADN, IMDG, IATA — класс: Void</w:t>
      </w:r>
    </w:p>
    <w:p>
      <w:pPr>
        <w:spacing w:after="60" w:before="120"/>
      </w:pPr>
      <w:r>
        <w:rPr>
          <w:b/>
          <w:bCs/>
        </w:rPr>
        <w:t xml:space="preserve">14.4 Группа упаковки</w:t>
      </w:r>
    </w:p>
    <w:p>
      <w:pPr>
        <w:spacing w:after="80"/>
      </w:pPr>
      <w:r>
        <w:t xml:space="preserve">ADR, IMDG, IATA: Void</w:t>
      </w:r>
    </w:p>
    <w:p>
      <w:pPr>
        <w:spacing w:after="60" w:before="120"/>
      </w:pPr>
      <w:r>
        <w:rPr>
          <w:b/>
          <w:bCs/>
        </w:rPr>
        <w:t xml:space="preserve">14.5 Опасность для окружающей среды</w:t>
      </w:r>
    </w:p>
    <w:p>
      <w:pPr>
        <w:spacing w:after="80"/>
      </w:pPr>
      <w:r>
        <w:t xml:space="preserve">Загрязнитель морской среды: нет.</w:t>
      </w:r>
    </w:p>
    <w:p>
      <w:pPr>
        <w:spacing w:after="60" w:before="120"/>
      </w:pPr>
      <w:r>
        <w:rPr>
          <w:b/>
          <w:bCs/>
        </w:rPr>
        <w:t xml:space="preserve">14.6 Особые меры предосторожности для пользователя</w:t>
      </w:r>
    </w:p>
    <w:p>
      <w:pPr>
        <w:spacing w:after="80"/>
      </w:pPr>
      <w:r>
        <w:t xml:space="preserve">Не применимо.</w:t>
      </w:r>
    </w:p>
    <w:p>
      <w:pPr>
        <w:spacing w:after="60" w:before="120"/>
      </w:pPr>
      <w:r>
        <w:rPr>
          <w:b/>
          <w:bCs/>
        </w:rPr>
        <w:t xml:space="preserve">14.7 Морская перевозка навалом согласно документам ИМО</w:t>
      </w:r>
    </w:p>
    <w:p>
      <w:pPr>
        <w:spacing w:after="80"/>
      </w:pPr>
      <w:r>
        <w:t xml:space="preserve">Не применимо.</w:t>
      </w:r>
    </w:p>
    <w:p>
      <w:pPr>
        <w:spacing w:after="60" w:before="120"/>
      </w:pPr>
      <w:r>
        <w:rPr>
          <w:b/>
          <w:bCs/>
        </w:rPr>
        <w:t xml:space="preserve">Транспортировка/Дополнительная информация</w:t>
      </w:r>
    </w:p>
    <w:p>
      <w:pPr>
        <w:spacing w:after="80"/>
      </w:pPr>
      <w:r>
        <w:t xml:space="preserve">Не является опасным согласно указанным характеристикам.</w:t>
      </w:r>
    </w:p>
    <w:p>
      <w:pPr>
        <w:spacing w:after="60" w:before="120"/>
      </w:pPr>
      <w:r>
        <w:rPr>
          <w:b/>
          <w:bCs/>
        </w:rPr>
        <w:t xml:space="preserve">Типовые правила ООН</w:t>
      </w:r>
    </w:p>
    <w:p>
      <w:pPr>
        <w:spacing w:after="80"/>
      </w:pPr>
      <w:r>
        <w:t xml:space="preserve">Void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15: Нормативная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15.1 Правила техники безопасности, охраны здоровья и окружающей среды/законодательство, специфичное для вещества или смеси</w:t>
      </w:r>
    </w:p>
    <w:p>
      <w:pPr>
        <w:spacing w:after="60" w:before="120"/>
      </w:pPr>
      <w:r>
        <w:rPr>
          <w:b/>
          <w:bCs/>
        </w:rPr>
        <w:t xml:space="preserve">Директива 2012/18/ЕС</w:t>
      </w:r>
    </w:p>
    <w:p>
      <w:pPr>
        <w:spacing w:after="80"/>
      </w:pPr>
      <w:r>
        <w:t xml:space="preserve">Опасные вещества, поименованные в Приложении I: ни один из компонентов не включён в перечень.</w:t>
      </w:r>
    </w:p>
    <w:p>
      <w:pPr>
        <w:spacing w:after="60" w:before="120"/>
      </w:pPr>
      <w:r>
        <w:rPr>
          <w:b/>
          <w:bCs/>
        </w:rPr>
        <w:t xml:space="preserve">15.2 Оценка химической безопасности</w:t>
      </w:r>
    </w:p>
    <w:p>
      <w:pPr>
        <w:spacing w:after="80"/>
      </w:pPr>
      <w:r>
        <w:t xml:space="preserve">Оценка химической безопасности не проводилась.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16: Прочая информация</w:t>
            </w:r>
          </w:p>
        </w:tc>
      </w:tr>
    </w:tbl>
    <w:p>
      <w:pPr>
        <w:spacing w:after="80"/>
      </w:pPr>
    </w:p>
    <w:p>
      <w:pPr>
        <w:spacing w:after="80"/>
      </w:pPr>
      <w:r>
        <w:t xml:space="preserve">Данная информация основана на текущем уровне наших знаний. Однако она не является гарантией каких-либо конкретных свойств продукта и не создаёт юридически действительных договорных отношений.</w:t>
      </w:r>
    </w:p>
    <w:p>
      <w:pPr>
        <w:spacing w:after="60" w:before="120"/>
      </w:pPr>
      <w:r>
        <w:rPr>
          <w:b/>
          <w:bCs/>
        </w:rPr>
        <w:t xml:space="preserve">Соответствующие фразы</w:t>
      </w:r>
    </w:p>
    <w:p>
      <w:pPr>
        <w:spacing w:after="80"/>
      </w:pPr>
      <w:r>
        <w:t xml:space="preserve">H301 Токсично при проглатывании.</w:t>
      </w:r>
    </w:p>
    <w:p>
      <w:pPr>
        <w:spacing w:after="80"/>
      </w:pPr>
      <w:r>
        <w:t xml:space="preserve">H302 Вредно при проглатывании.</w:t>
      </w:r>
    </w:p>
    <w:p>
      <w:pPr>
        <w:spacing w:after="80"/>
      </w:pPr>
      <w:r>
        <w:t xml:space="preserve">H310 Смертельно при контакте с кожей.</w:t>
      </w:r>
    </w:p>
    <w:p>
      <w:pPr>
        <w:spacing w:after="80"/>
      </w:pPr>
      <w:r>
        <w:t xml:space="preserve">H314 Вызывает серьёзные ожоги кожи и повреждение глаз.</w:t>
      </w:r>
    </w:p>
    <w:p>
      <w:pPr>
        <w:spacing w:after="80"/>
      </w:pPr>
      <w:r>
        <w:t xml:space="preserve">H315 Вызывает раздражение кожи.</w:t>
      </w:r>
    </w:p>
    <w:p>
      <w:pPr>
        <w:spacing w:after="80"/>
      </w:pPr>
      <w:r>
        <w:t xml:space="preserve">H317 Может вызывать аллергическую кожную реакцию.</w:t>
      </w:r>
    </w:p>
    <w:p>
      <w:pPr>
        <w:spacing w:after="80"/>
      </w:pPr>
      <w:r>
        <w:t xml:space="preserve">H318 Вызывает серьёзное повреждение глаз.</w:t>
      </w:r>
    </w:p>
    <w:p>
      <w:pPr>
        <w:spacing w:after="80"/>
      </w:pPr>
      <w:r>
        <w:t xml:space="preserve">H330 Смертельно при вдыхании.</w:t>
      </w:r>
    </w:p>
    <w:p>
      <w:pPr>
        <w:spacing w:after="80"/>
      </w:pPr>
      <w:r>
        <w:t xml:space="preserve">H400 Очень токсично для водных организмов.</w:t>
      </w:r>
    </w:p>
    <w:p>
      <w:pPr>
        <w:spacing w:after="80"/>
      </w:pPr>
      <w:r>
        <w:t xml:space="preserve">H410 Очень токсично для водных организмов с долгосрочными последствиями.</w:t>
      </w:r>
    </w:p>
    <w:p>
      <w:pPr>
        <w:spacing w:after="80"/>
      </w:pPr>
      <w:r>
        <w:rPr>
          <w:i/>
          <w:iCs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60" w:before="120"/>
      </w:pPr>
      <w:r>
        <w:rPr>
          <w:b/>
          <w:bCs/>
        </w:rPr>
        <w:t xml:space="preserve">Классификация согласно Регламенту (ЕС) № 1272/2008</w:t>
      </w:r>
    </w:p>
    <w:p>
      <w:pPr>
        <w:spacing w:after="80"/>
      </w:pPr>
      <w:r>
        <w:t xml:space="preserve">Классификация смеси в целом основана на расчётном методе с использованием данных по веществам согласно Регламенту (ЕС) № 1272/2008.</w:t>
      </w:r>
    </w:p>
    <w:p>
      <w:pPr>
        <w:spacing w:after="60" w:before="120"/>
      </w:pPr>
      <w:r>
        <w:rPr>
          <w:b/>
          <w:bCs/>
        </w:rPr>
        <w:t xml:space="preserve">Отдел, выпустивший паспорт безопасности</w:t>
      </w:r>
    </w:p>
    <w:p>
      <w:pPr>
        <w:spacing w:after="80"/>
      </w:pPr>
      <w:r>
        <w:t xml:space="preserve">Отдел безопасности продукции.</w:t>
      </w:r>
    </w:p>
    <w:p>
      <w:pPr>
        <w:spacing w:after="60" w:before="120"/>
      </w:pPr>
      <w:r>
        <w:rPr>
          <w:b/>
          <w:bCs/>
        </w:rPr>
        <w:t xml:space="preserve">Контакт</w:t>
      </w:r>
    </w:p>
    <w:p>
      <w:pPr>
        <w:spacing w:after="80"/>
      </w:pPr>
      <w:r>
        <w:t xml:space="preserve">Отдел безопасности продукции. Телефон: +49 (0)731 4097 207. E-mail: msds.info@uzin-utz.com</w:t>
      </w:r>
    </w:p>
    <w:p>
      <w:pPr>
        <w:spacing w:after="60" w:before="120"/>
      </w:pPr>
      <w:r>
        <w:rPr>
          <w:b/>
          <w:bCs/>
        </w:rPr>
        <w:t xml:space="preserve">Сокращения и акронимы</w:t>
      </w:r>
    </w:p>
    <w:p>
      <w:pPr>
        <w:spacing w:after="80"/>
      </w:pPr>
      <w:r>
        <w:t xml:space="preserve">RID — Правила международной перевозки опасных грузов по железным дорогам.</w:t>
      </w:r>
    </w:p>
    <w:p>
      <w:pPr>
        <w:spacing w:after="80"/>
      </w:pPr>
      <w:r>
        <w:t xml:space="preserve">ICAO — Международная организация гражданской авиации.</w:t>
      </w:r>
    </w:p>
    <w:p>
      <w:pPr>
        <w:spacing w:after="80"/>
      </w:pPr>
      <w:r>
        <w:t xml:space="preserve">ADR — Европейское соглашение о международной дорожной перевозке опасных грузов.</w:t>
      </w:r>
    </w:p>
    <w:p>
      <w:pPr>
        <w:spacing w:after="80"/>
      </w:pPr>
      <w:r>
        <w:t xml:space="preserve">IMDG — Международный морской кодекс по опасным грузам.</w:t>
      </w:r>
    </w:p>
    <w:p>
      <w:pPr>
        <w:spacing w:after="80"/>
      </w:pPr>
      <w:r>
        <w:t xml:space="preserve">IATA — Международная ассоциация воздушного транспорта.</w:t>
      </w:r>
    </w:p>
    <w:p>
      <w:pPr>
        <w:spacing w:after="80"/>
      </w:pPr>
      <w:r>
        <w:t xml:space="preserve">GHS — Согласованная на глобальном уровне система классификации и маркировки химических веществ.</w:t>
      </w:r>
    </w:p>
    <w:p>
      <w:pPr>
        <w:spacing w:after="80"/>
      </w:pPr>
      <w:r>
        <w:t xml:space="preserve">EINECS — Европейский реестр существующих коммерческих химических веществ.</w:t>
      </w:r>
    </w:p>
    <w:p>
      <w:pPr>
        <w:spacing w:after="80"/>
      </w:pPr>
      <w:r>
        <w:t xml:space="preserve">ELINCS — Европейский список зарегистрированных химических веществ.</w:t>
      </w:r>
    </w:p>
    <w:p>
      <w:pPr>
        <w:spacing w:after="80"/>
      </w:pPr>
      <w:r>
        <w:t xml:space="preserve">CAS — Служба реферирования химических веществ (подразделение Американского химического общества).</w:t>
      </w:r>
    </w:p>
    <w:p>
      <w:pPr>
        <w:spacing w:after="80"/>
      </w:pPr>
      <w:r>
        <w:t xml:space="preserve">PBT — СБТ (стойкое, биоаккумулятивное и токсичное вещество).</w:t>
      </w:r>
    </w:p>
    <w:p>
      <w:pPr>
        <w:spacing w:after="80"/>
      </w:pPr>
      <w:r>
        <w:t xml:space="preserve">vPvB — оСБсБ (очень стойкое и очень биоаккумулятивное вещество).</w:t>
      </w:r>
    </w:p>
    <w:p>
      <w:pPr>
        <w:spacing w:after="80"/>
      </w:pPr>
      <w:r>
        <w:t xml:space="preserve">Acute Tox. 3 — острая токсичность, категория 3.</w:t>
      </w:r>
    </w:p>
    <w:p>
      <w:pPr>
        <w:spacing w:after="80"/>
      </w:pPr>
      <w:r>
        <w:t xml:space="preserve">Acute Tox. 4 — острая токсичность, категория 4.</w:t>
      </w:r>
    </w:p>
    <w:p>
      <w:pPr>
        <w:spacing w:after="80"/>
      </w:pPr>
      <w:r>
        <w:t xml:space="preserve">Acute Tox. 2 — острая токсичность, категория 2.</w:t>
      </w:r>
    </w:p>
    <w:p>
      <w:pPr>
        <w:spacing w:after="80"/>
      </w:pPr>
      <w:r>
        <w:t xml:space="preserve">Skin Corr. 1C — разъедание/раздражение кожи, категория 1C.</w:t>
      </w:r>
    </w:p>
    <w:p>
      <w:pPr>
        <w:spacing w:after="80"/>
      </w:pPr>
      <w:r>
        <w:t xml:space="preserve">Skin Irrit. 2 — разъедание/раздражение кожи, категория 2.</w:t>
      </w:r>
    </w:p>
    <w:p>
      <w:pPr>
        <w:spacing w:after="80"/>
      </w:pPr>
      <w:r>
        <w:t xml:space="preserve">Skin Sens. 1 — сенсибилизация кожи, категория 1.</w:t>
      </w:r>
    </w:p>
    <w:p>
      <w:pPr>
        <w:spacing w:after="80"/>
      </w:pPr>
      <w:r>
        <w:t xml:space="preserve">Eye Dam. 1 — серьёзное повреждение/раздражение глаз, категория 1.</w:t>
      </w:r>
    </w:p>
    <w:p>
      <w:pPr>
        <w:spacing w:after="80"/>
      </w:pPr>
      <w:r>
        <w:t xml:space="preserve">Skin Sens. 1A — сенсибилизация кожи, категория 1A.</w:t>
      </w:r>
    </w:p>
    <w:p>
      <w:pPr>
        <w:spacing w:after="80"/>
      </w:pPr>
      <w:r>
        <w:t xml:space="preserve">Aquatic Acute 1 — опасность для водной среды — острая опасность, категория 1.</w:t>
      </w:r>
    </w:p>
    <w:p>
      <w:pPr>
        <w:spacing w:after="80"/>
      </w:pPr>
      <w:r>
        <w:t xml:space="preserve">Aquatic Chronic 1 — опасность для водной среды — долгосрочная опасность, категория 1.</w:t>
      </w:r>
    </w:p>
    <w:p>
      <w:pPr>
        <w:spacing w:after="80"/>
      </w:pPr>
      <w:r>
        <w:t xml:space="preserve">* Данные изменены по сравнению с предыдущей версией.</w:t>
      </w:r>
    </w:p>
    <w:p>
      <w:pPr>
        <w:spacing w:after="160"/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2026-07-13T11:45:47.731Z</dcterms:created>
  <dcterms:modified xsi:type="dcterms:W3CDTF">2026-07-13T11:45:47.732Z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