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UZIN MK 200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t xml:space="preserve">Торговое название: UZIN MK 200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применения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SU21 Потребительское использование: частные домохозяйства/широкая публика/потребители</w:t>
      </w:r>
    </w:p>
    <w:p>
      <w:pPr>
        <w:spacing w:after="60" w:before="120"/>
      </w:pPr>
      <w:r>
        <w:rPr>
          <w:b/>
          <w:bCs/>
        </w:rPr>
        <w:t xml:space="preserve">Категория продукта</w:t>
      </w:r>
    </w:p>
    <w:p>
      <w:pPr>
        <w:spacing w:after="80"/>
      </w:pPr>
      <w:r>
        <w:t xml:space="preserve">PC1 Клеи, герметики</w:t>
      </w:r>
    </w:p>
    <w:p>
      <w:pPr>
        <w:spacing w:after="60" w:before="120"/>
      </w:pPr>
      <w:r>
        <w:rPr>
          <w:b/>
          <w:bCs/>
        </w:rPr>
        <w:t xml:space="preserve">Применение вещества/смеси</w:t>
      </w:r>
    </w:p>
    <w:p>
      <w:pPr>
        <w:spacing w:after="80"/>
      </w:pPr>
      <w:r>
        <w:t xml:space="preserve">Однокомпонентный паркетный клей на основе STP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t xml:space="preserve">Производитель: UZIN UTZ AG, Dieselstraße 3, D-89079 Ulm. Тел.: +49 (0)731 4097-0. Факс: +49 (0)731 4097-110</w:t>
      </w:r>
    </w:p>
    <w:p>
      <w:pPr>
        <w:spacing w:after="80"/>
      </w:pPr>
      <w:r>
        <w:t xml:space="preserve">Поставщик в Великобритании: Uzin Utz UK Ltd., Unit 2, Mitchell Court, Central Park, Rugby, Warwickshire, CV23 0UY. Тел. +44 (0) 1788 530 080. Факс +44 (0) 1788 536508. Email info@uk.uzin-utz.com</w:t>
      </w:r>
    </w:p>
    <w:p>
      <w:pPr>
        <w:spacing w:after="80"/>
      </w:pPr>
      <w:r>
        <w:t xml:space="preserve">Дополнительную информацию можно получить: Отдел безопасности продукции, email: msds.info@uzin-utz.com</w:t>
      </w:r>
    </w:p>
    <w:p>
      <w:pPr>
        <w:spacing w:after="60" w:before="120"/>
      </w:pPr>
      <w:r>
        <w:rPr>
          <w:b/>
          <w:bCs/>
        </w:rPr>
        <w:t xml:space="preserve">1.4 Номер телефона для экстренных случаев</w:t>
      </w:r>
    </w:p>
    <w:p>
      <w:pPr>
        <w:spacing w:after="80"/>
      </w:pPr>
      <w:r>
        <w:t xml:space="preserve">Медицинские экстренные случаи (Информационный токсикологический центр GIZ-Nord): +49 551 19240</w:t>
      </w:r>
    </w:p>
    <w:p>
      <w:pPr>
        <w:spacing w:after="80"/>
      </w:pPr>
      <w:r>
        <w:t xml:space="preserve">Экстренные случаи при транспортировке: +49 621 60 43 333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t xml:space="preserve">Продукт не классифицирован согласно регламенту CLP.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Маркировка согласно Регламенту (ЕС) № 1272/2008: Void</w:t>
      </w:r>
    </w:p>
    <w:p>
      <w:pPr>
        <w:spacing w:after="80"/>
      </w:pPr>
      <w:r>
        <w:t xml:space="preserve">Пиктограммы опасности: Void</w:t>
      </w:r>
    </w:p>
    <w:p>
      <w:pPr>
        <w:spacing w:after="80"/>
      </w:pPr>
      <w:r>
        <w:t xml:space="preserve">Сигнальное слово: Void</w:t>
      </w:r>
    </w:p>
    <w:p>
      <w:pPr>
        <w:spacing w:after="80"/>
      </w:pPr>
      <w:r>
        <w:t xml:space="preserve">Указания на опасность: Void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EUH208 Содержит триметоксивинилсилан.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t xml:space="preserve">Описание: однокомпонентный MSP паркетный клей на основе модифицированных силановых форполимеров и неорганических наполнителей (мел).</w:t>
      </w:r>
    </w:p>
    <w:p>
      <w:pPr>
        <w:spacing w:after="60" w:before="120"/>
      </w:pPr>
      <w:r>
        <w:rPr>
          <w:b/>
          <w:bCs/>
        </w:rPr>
        <w:t xml:space="preserve">Опасные компоненты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CAS/EINECS/Reg.nr.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Классификация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p>
            <w:r>
              <w:t xml:space="preserve">CAS: 2768-02-7
EINECS: 220-449-8
Reg.nr.: 01-2119513215-52</w:t>
            </w:r>
          </w:p>
        </w:tc>
        <w:tc>
          <w:p>
            <w:r>
              <w:t xml:space="preserve">триметоксивинилсилан</w:t>
            </w:r>
          </w:p>
        </w:tc>
        <w:tc>
          <w:p>
            <w:r>
              <w:t xml:space="preserve">Flam. Liq. 3, H226; Skin Sens. 1B, H317</w:t>
            </w:r>
          </w:p>
        </w:tc>
        <w:tc>
          <w:p>
            <w:r>
              <w:t xml:space="preserve">&lt;1%</w:t>
            </w:r>
          </w:p>
        </w:tc>
      </w:tr>
    </w:tbl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чистым веществам-компонентам,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После вдыхания</w:t>
      </w:r>
    </w:p>
    <w:p>
      <w:pPr>
        <w:spacing w:after="80"/>
      </w:pPr>
      <w:r>
        <w:t xml:space="preserve">Обеспечить приток свежего воздуха; при жалобах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контакта с кожей</w:t>
      </w:r>
    </w:p>
    <w:p>
      <w:pPr>
        <w:spacing w:after="80"/>
      </w:pPr>
      <w:r>
        <w:t xml:space="preserve">Немедленно промыть водой с мылом и тщательно ополоснуть.</w:t>
      </w:r>
    </w:p>
    <w:p>
      <w:pPr>
        <w:spacing w:after="60" w:before="120"/>
      </w:pPr>
      <w:r>
        <w:rPr>
          <w:b/>
          <w:bCs/>
        </w:rPr>
        <w:t xml:space="preserve">После контакта с глазами</w:t>
      </w:r>
    </w:p>
    <w:p>
      <w:pPr>
        <w:spacing w:after="80"/>
      </w:pP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проглатывания</w:t>
      </w:r>
    </w:p>
    <w:p>
      <w:pPr>
        <w:spacing w:after="80"/>
      </w:pPr>
      <w:r>
        <w:t xml:space="preserve">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60" w:before="120"/>
      </w:pPr>
      <w:r>
        <w:rPr>
          <w:b/>
          <w:bCs/>
        </w:rPr>
        <w:t xml:space="preserve">Подходящие средства пожаротушения</w:t>
      </w:r>
    </w:p>
    <w:p>
      <w:pPr>
        <w:spacing w:after="80"/>
      </w:pPr>
      <w:r>
        <w:t xml:space="preserve">CO₂, порошок или водяное распыление. При крупных пожарах — водяное распыление или спиртостойкая пена.</w:t>
      </w:r>
    </w:p>
    <w:p>
      <w:pPr>
        <w:spacing w:after="60" w:before="120"/>
      </w:pPr>
      <w:r>
        <w:rPr>
          <w:b/>
          <w:bCs/>
        </w:rPr>
        <w:t xml:space="preserve">Средства пожаротушения, непригодные по соображениям безопасности</w:t>
      </w:r>
    </w:p>
    <w:p>
      <w:pPr>
        <w:spacing w:after="80"/>
      </w:pPr>
      <w:r>
        <w:t xml:space="preserve">Вода со сплошной струёй.</w:t>
      </w:r>
    </w:p>
    <w:p>
      <w:pPr>
        <w:spacing w:after="60" w:before="120"/>
      </w:pPr>
      <w:r>
        <w:rPr>
          <w:b/>
          <w:bCs/>
        </w:rPr>
        <w:t xml:space="preserve">5.2 Особые опасности, исходящие от вещества или смеси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Защитное оборудование</w:t>
      </w:r>
    </w:p>
    <w:p>
      <w:pPr>
        <w:spacing w:after="80"/>
      </w:pPr>
      <w:r>
        <w:t xml:space="preserve">Средство защиты органов дыхания (изолирующее).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6.1 Меры личной предосторожности, защитное оборудование и порядок действий в чрезвычайной ситуации</w:t>
      </w:r>
    </w:p>
    <w:p>
      <w:pPr>
        <w:spacing w:after="80"/>
      </w:pPr>
      <w:r>
        <w:t xml:space="preserve">Обеспечить достаточную вентиляцию.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Собрать с помощью жидкосвязывающего материала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— сведения о безопасном обращении.</w:t>
      </w:r>
    </w:p>
    <w:p>
      <w:pPr>
        <w:spacing w:after="80"/>
      </w:pPr>
      <w:r>
        <w:t xml:space="preserve">См. раздел 8 — сведения о средствах индивидуальной защиты.</w:t>
      </w:r>
    </w:p>
    <w:p>
      <w:pPr>
        <w:spacing w:after="80"/>
      </w:pPr>
      <w:r>
        <w:t xml:space="preserve">См. раздел 13 — сведения по утилизации.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Обеспечить достаточную вентиляцию.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Информация по пожаро- и взрывобезопасности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 с учётом несовместимости</w:t>
      </w:r>
    </w:p>
    <w:p>
      <w:pPr>
        <w:spacing w:after="60" w:before="120"/>
      </w:pPr>
      <w:r>
        <w:rPr>
          <w:b/>
          <w:bCs/>
        </w:rPr>
        <w:t xml:space="preserve">Требования к складским помещениям и ёмкостям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Информация о совместном хранении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</w:t>
      </w:r>
    </w:p>
    <w:p>
      <w:pPr>
        <w:spacing w:after="80"/>
      </w:pPr>
      <w:r>
        <w:t xml:space="preserve">Держать ёмкость плотно закрытой. Беречь от влаги и воды. Открытую неиспользованную часть продукта хранить в герметичной упаковке.</w:t>
      </w:r>
    </w:p>
    <w:p>
      <w:pPr>
        <w:spacing w:after="60" w:before="120"/>
      </w:pPr>
      <w:r>
        <w:rPr>
          <w:b/>
          <w:bCs/>
        </w:rPr>
        <w:t xml:space="preserve">7.3 Особые конечные применения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воздействия/средства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подлежащими контролю на рабочем месте</w:t>
      </w:r>
    </w:p>
    <w:p>
      <w:pPr>
        <w:spacing w:after="80"/>
      </w:pPr>
      <w:r>
        <w:t xml:space="preserve">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Компоненты с биологическими предельными значениями</w:t>
      </w:r>
    </w:p>
    <w:p>
      <w:pPr>
        <w:spacing w:after="60" w:before="120"/>
      </w:pPr>
      <w:r>
        <w:rPr>
          <w:b/>
          <w:bCs/>
        </w:rPr>
        <w:t xml:space="preserve">Дополнительные значения предельно допустимого воздействия для возможных опасностей при переработке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WEL</w:t>
            </w:r>
          </w:p>
        </w:tc>
      </w:tr>
      <w:tr>
        <w:tc>
          <w:p>
            <w:r>
              <w:t xml:space="preserve">67-56-1</w:t>
            </w:r>
          </w:p>
        </w:tc>
        <w:tc>
          <w:p>
            <w:r>
              <w:t xml:space="preserve">метанол</w:t>
            </w:r>
          </w:p>
        </w:tc>
        <w:tc>
          <w:p>
            <w:r>
              <w:t xml:space="preserve">Кратковременное значение: 333 мг/м³, 250 ppm
Долговременное значение: 266 мг/м³, 200 ppm
Sk</w:t>
            </w:r>
          </w:p>
        </w:tc>
      </w:tr>
    </w:tbl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60" w:before="120"/>
      </w:pPr>
      <w:r>
        <w:rPr>
          <w:b/>
          <w:bCs/>
        </w:rPr>
        <w:t xml:space="preserve">Соответствующие технические меры контроля</w:t>
      </w:r>
    </w:p>
    <w:p>
      <w:pPr>
        <w:spacing w:after="80"/>
      </w:pP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Индивидуальные меры защиты, включая средства индивидуальной защиты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</w:t>
      </w:r>
    </w:p>
    <w:p>
      <w:pPr>
        <w:spacing w:after="0"/>
      </w:pPr>
      <w:r>
        <w:t xml:space="preserve">● Соблюдать обычные меры предосторожности при обращении с химическими веществами.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Защита органов дыхания</w:t>
      </w:r>
    </w:p>
    <w:p>
      <w:pPr>
        <w:spacing w:after="80"/>
      </w:pPr>
      <w:r>
        <w:t xml:space="preserve">Предельно допустимые концентрации на рабочем месте (OEL) достоверно соблюдаются при применении. Поэтому защита органов дыхания не требуется.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ПВХ- или ПЭ-перчатки (EN 374).</w:t>
      </w:r>
    </w:p>
    <w:p>
      <w:pPr>
        <w:spacing w:after="60" w:before="120"/>
      </w:pPr>
      <w:r>
        <w:rPr>
          <w:b/>
          <w:bCs/>
        </w:rPr>
        <w:t xml:space="preserve">Материал перчаток</w:t>
      </w:r>
    </w:p>
    <w:p>
      <w:pPr>
        <w:spacing w:after="80"/>
      </w:pPr>
      <w:r>
        <w:t xml:space="preserve">ПВХ- или ПЭ-перчатки (EN 374). Рекомендуемая толщина материала: ≥ 0,5 мм.</w:t>
      </w:r>
    </w:p>
    <w:p>
      <w:pPr>
        <w:spacing w:after="60" w:before="120"/>
      </w:pPr>
      <w:r>
        <w:rPr>
          <w:b/>
          <w:bCs/>
        </w:rPr>
        <w:t xml:space="preserve">Время проникновения материала перчаток</w:t>
      </w:r>
    </w:p>
    <w:p>
      <w:pPr>
        <w:spacing w:after="80"/>
      </w:pP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60" w:before="120"/>
      </w:pPr>
      <w:r>
        <w:rPr>
          <w:b/>
          <w:bCs/>
        </w:rPr>
        <w:t xml:space="preserve">Защита глаз/лица</w:t>
      </w:r>
    </w:p>
    <w:p>
      <w:pPr>
        <w:spacing w:after="80"/>
      </w:pPr>
      <w:r>
        <w:t xml:space="preserve">Защитные очки (EN 166).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9.1 Сведения об основных физических и химических свойствах</w:t>
      </w:r>
    </w:p>
    <w:p>
      <w:pPr>
        <w:spacing w:after="80"/>
      </w:pPr>
      <w:r>
        <w:t xml:space="preserve">Агрегатное состояние: жидкое (текучее)</w:t>
      </w:r>
    </w:p>
    <w:p>
      <w:pPr>
        <w:spacing w:after="80"/>
      </w:pPr>
      <w:r>
        <w:t xml:space="preserve">Цвет: светло-бежевый</w:t>
      </w:r>
    </w:p>
    <w:p>
      <w:pPr>
        <w:spacing w:after="80"/>
      </w:pPr>
      <w:r>
        <w:t xml:space="preserve">Запах: почти без запаха</w:t>
      </w:r>
    </w:p>
    <w:p>
      <w:pPr>
        <w:spacing w:after="80"/>
      </w:pPr>
      <w:r>
        <w:t xml:space="preserve">Порог восприятия запаха: не определён.</w:t>
      </w:r>
    </w:p>
    <w:p>
      <w:pPr>
        <w:spacing w:after="80"/>
      </w:pPr>
      <w:r>
        <w:t xml:space="preserve">Точка плавления/замерзания: не определена.</w:t>
      </w:r>
    </w:p>
    <w:p>
      <w:pPr>
        <w:spacing w:after="80"/>
      </w:pPr>
      <w:r>
        <w:t xml:space="preserve">Точка кипения или начальная точка кипения и диапазон кипения: не определены.</w:t>
      </w:r>
    </w:p>
    <w:p>
      <w:pPr>
        <w:spacing w:after="80"/>
      </w:pPr>
      <w:r>
        <w:t xml:space="preserve">Воспламеняемость: не применимо.</w:t>
      </w:r>
    </w:p>
    <w:p>
      <w:pPr>
        <w:spacing w:after="80"/>
      </w:pPr>
      <w:r>
        <w:t xml:space="preserve">Нижний и верхний пределы взрываемости: не определены.</w:t>
      </w:r>
    </w:p>
    <w:p>
      <w:pPr>
        <w:spacing w:after="80"/>
      </w:pPr>
      <w:r>
        <w:t xml:space="preserve">Температура вспышки: &gt;100 °C.</w:t>
      </w:r>
    </w:p>
    <w:p>
      <w:pPr>
        <w:spacing w:after="80"/>
      </w:pPr>
      <w: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t xml:space="preserve">Температура разложения: не определена.</w:t>
      </w:r>
    </w:p>
    <w:p>
      <w:pPr>
        <w:spacing w:after="80"/>
      </w:pPr>
      <w:r>
        <w:t xml:space="preserve">pH: не определён.</w:t>
      </w:r>
    </w:p>
    <w:p>
      <w:pPr>
        <w:spacing w:after="80"/>
      </w:pPr>
      <w:r>
        <w:t xml:space="preserve">Кинематическая вязкость при 20 °C: 100 000 с (DIN 53211/4).</w:t>
      </w:r>
    </w:p>
    <w:p>
      <w:pPr>
        <w:spacing w:after="80"/>
      </w:pPr>
      <w:r>
        <w:t xml:space="preserve">Динамическая вязкость: не определена.</w:t>
      </w:r>
    </w:p>
    <w:p>
      <w:pPr>
        <w:spacing w:after="60" w:before="120"/>
      </w:pPr>
      <w:r>
        <w:rPr>
          <w:b/>
          <w:bCs/>
        </w:rPr>
        <w:t xml:space="preserve">Растворимость</w:t>
      </w:r>
    </w:p>
    <w:p>
      <w:pPr>
        <w:spacing w:after="80"/>
      </w:pPr>
      <w:r>
        <w:t xml:space="preserve">Вода: не смешивается или трудно смешивается.</w:t>
      </w:r>
    </w:p>
    <w:p>
      <w:pPr>
        <w:spacing w:after="80"/>
      </w:pPr>
      <w:r>
        <w:t xml:space="preserve">Коэффициент распределения н-октанол/вода (log-значение): не определён.</w:t>
      </w:r>
    </w:p>
    <w:p>
      <w:pPr>
        <w:spacing w:after="80"/>
      </w:pPr>
      <w:r>
        <w:t xml:space="preserve">Давление паров: не определено.</w:t>
      </w:r>
    </w:p>
    <w:p>
      <w:pPr>
        <w:spacing w:after="80"/>
      </w:pPr>
      <w:r>
        <w:t xml:space="preserve">Плотность при 20 °C: 1,7 г/см³. Относительная плотность: не определена. Плотность паров: не определена.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t xml:space="preserve">Форма: пастообразная.</w:t>
      </w:r>
    </w:p>
    <w:p>
      <w:pPr>
        <w:spacing w:after="80"/>
      </w:pPr>
      <w: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t xml:space="preserve">Скорость испарения: не определена.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t xml:space="preserve">Взрывчатые вещества — Void; горючие газы — Void; аэрозоли — Void; окисляющие газы — Void; газы под давлением — Void; легковоспламеняющиеся жидкости — Void; легковоспламеняющиеся твёрдые вещества — Void; саморазлагающиеся вещества и смеси — Void; пирофорные жидкости — Void; пирофорные твёрдые вещества — Void; самонагревающиеся вещества и смеси — Void; вещества и смеси, выделяющие легковоспламеняющиеся газы при контакте с водой — Void; окисляющие жидкости — Void; окисляющие твёрдые вещества — Void; органические пероксиды — Void; коррозионное воздействие на металлы — Void; десенсибилизированные взрывчатые вещества — Void.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t xml:space="preserve">Термическое разложение/условия, которых следует избегать: продукт гидролизуется с образованием метанола при контакте с водой или влажным воздухом.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t xml:space="preserve">Опасных реакций не выявлено.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t xml:space="preserve">При хранении избегать загрязнения влагой.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t xml:space="preserve">Возможно образование следовых количеств метанола.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11.1 Сведения о классах опасности согласно Регламенту (ЕС) № 1272/2008</w:t>
      </w:r>
    </w:p>
    <w:p>
      <w:pPr>
        <w:spacing w:after="60" w:before="120"/>
      </w:pPr>
      <w:r>
        <w:rPr>
          <w:b/>
          <w:bCs/>
        </w:rPr>
        <w:t xml:space="preserve">Острая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Разъедание/раздражение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Серьёзное повреждение/раздражение глаз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Сенсибилизация дыхательных путей или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Мутагенность зародышевых клеток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Канцерогенность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Репродуктивная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(однократное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(повторное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Опасность при аспирации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60" w:before="120"/>
      </w:pPr>
      <w:r>
        <w:rPr>
          <w:b/>
          <w:bCs/>
        </w:rPr>
        <w:t xml:space="preserve">Свойства эндокринных разрушителей</w:t>
      </w:r>
    </w:p>
    <w:p>
      <w:pPr>
        <w:spacing w:after="80"/>
      </w:pPr>
      <w:r>
        <w:t xml:space="preserve">Ни один из компонентов не включён в соответствующие перечни.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Общие указания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 Дать остаткам продукта затвердеть в открытой ёмкости, затем утилизировать как строительные отходы.</w:t>
      </w:r>
    </w:p>
    <w:p>
      <w:pPr>
        <w:spacing w:after="60" w:before="120"/>
      </w:pPr>
      <w:r>
        <w:rPr>
          <w:b/>
          <w:bCs/>
        </w:rPr>
        <w:t xml:space="preserve">Загрязнённая упаковка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Утилизация должна проводиться согласно официальным нормам. Тщательно очищать загрязнённую упаковку. После тщательной и надлежащей очистки она может быть переработана.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14.2 Надлежащее отгрузочное наименование ООН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14.3 Класс(-ы) опасности при транспортировке</w:t>
      </w:r>
    </w:p>
    <w:p>
      <w:pPr>
        <w:spacing w:after="80"/>
      </w:pPr>
      <w:r>
        <w:t xml:space="preserve">ADR, ADN, IMDG, IATA — класс: Void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t xml:space="preserve">ADR, IMDG, IATA: Void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t xml:space="preserve">Загрязнитель морской среды: нет.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Транспортировка/Дополнительная информация</w:t>
      </w:r>
    </w:p>
    <w:p>
      <w:pPr>
        <w:spacing w:after="80"/>
      </w:pPr>
      <w:r>
        <w:t xml:space="preserve">Не является опасным согласно указанным характеристикам.</w:t>
      </w:r>
    </w:p>
    <w:p>
      <w:pPr>
        <w:spacing w:after="60" w:before="120"/>
      </w:pPr>
      <w:r>
        <w:rPr>
          <w:b/>
          <w:bCs/>
        </w:rPr>
        <w:t xml:space="preserve">Типовые правила ООН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15.1 Правила техники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t xml:space="preserve">Опасные вещества, поименованные в Приложении I: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РЕГЛАМЕНТ (ЕС) 2019/1148</w:t>
      </w:r>
    </w:p>
    <w:p>
      <w:pPr>
        <w:spacing w:after="80"/>
      </w:pPr>
      <w:r>
        <w:t xml:space="preserve">Регламент (ЕС) № 273/2004 о прекурсорах наркотических веществ: ни один из компонентов не включён в перечень.</w:t>
      </w:r>
    </w:p>
    <w:p>
      <w:pPr>
        <w:spacing w:after="80"/>
      </w:pPr>
      <w:r>
        <w:t xml:space="preserve">Регламент (ЕС) № 111/2005 о мониторинге торговли прекурсорами наркотических веществ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t xml:space="preserve">Данная информация основана на текущем уровне наших знаний.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</w:rPr>
        <w:t xml:space="preserve">Соответствующие фразы</w:t>
      </w:r>
    </w:p>
    <w:p>
      <w:pPr>
        <w:spacing w:after="80"/>
      </w:pPr>
      <w:r>
        <w:t xml:space="preserve">H226 Легковоспламеняющаяся жидкость и пар.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чистым веществам-компонентам,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20"/>
      </w:pPr>
      <w:r>
        <w:rPr>
          <w:b/>
          <w:bCs/>
        </w:rPr>
        <w:t xml:space="preserve">Отдел, выпустивший паспорт безопасности</w:t>
      </w:r>
    </w:p>
    <w:p>
      <w:pPr>
        <w:spacing w:after="80"/>
      </w:pPr>
      <w:r>
        <w:t xml:space="preserve">Отдел безопасности продукции.</w:t>
      </w:r>
    </w:p>
    <w:p>
      <w:pPr>
        <w:spacing w:after="60" w:before="120"/>
      </w:pPr>
      <w:r>
        <w:rPr>
          <w:b/>
          <w:bCs/>
        </w:rPr>
        <w:t xml:space="preserve">Контакт</w:t>
      </w:r>
    </w:p>
    <w:p>
      <w:pPr>
        <w:spacing w:after="80"/>
      </w:pPr>
      <w:r>
        <w:t xml:space="preserve">Отдел безопасности продукции. Телефон: +49 (0)731 4097 207. E-mail: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spacing w:after="80"/>
      </w:pPr>
      <w:r>
        <w:t xml:space="preserve">RID — Правила международной перевозки опасных грузов по железным дорогам.</w:t>
      </w:r>
    </w:p>
    <w:p>
      <w:pPr>
        <w:spacing w:after="80"/>
      </w:pPr>
      <w:r>
        <w:t xml:space="preserve">ICAO — Международная организация гражданской авиации.</w:t>
      </w:r>
    </w:p>
    <w:p>
      <w:pPr>
        <w:spacing w:after="80"/>
      </w:pPr>
      <w:r>
        <w:t xml:space="preserve">ADR — Европейское соглашение о международной дорожной перевозке опасных грузов.</w:t>
      </w:r>
    </w:p>
    <w:p>
      <w:pPr>
        <w:spacing w:after="80"/>
      </w:pPr>
      <w:r>
        <w:t xml:space="preserve">IMDG — Международный морской кодекс по опасным грузам.</w:t>
      </w:r>
    </w:p>
    <w:p>
      <w:pPr>
        <w:spacing w:after="80"/>
      </w:pPr>
      <w:r>
        <w:t xml:space="preserve">IATA — Международная ассоциация воздушного транспорта.</w:t>
      </w:r>
    </w:p>
    <w:p>
      <w:pPr>
        <w:spacing w:after="80"/>
      </w:pPr>
      <w:r>
        <w:t xml:space="preserve">GHS — Согласованная на глобальном уровне система классификации и маркировки химических веществ.</w:t>
      </w:r>
    </w:p>
    <w:p>
      <w:pPr>
        <w:spacing w:after="80"/>
      </w:pPr>
      <w:r>
        <w:t xml:space="preserve">EINECS — Европейский реестр существующих коммерческих химических веществ.</w:t>
      </w:r>
    </w:p>
    <w:p>
      <w:pPr>
        <w:spacing w:after="80"/>
      </w:pPr>
      <w:r>
        <w:t xml:space="preserve">ELINCS — Европейский список зарегистрированных химических веществ.</w:t>
      </w:r>
    </w:p>
    <w:p>
      <w:pPr>
        <w:spacing w:after="80"/>
      </w:pPr>
      <w:r>
        <w:t xml:space="preserve">CAS — Служба реферирования химических веществ (подразделение Американского химического общества).</w:t>
      </w:r>
    </w:p>
    <w:p>
      <w:pPr>
        <w:spacing w:after="80"/>
      </w:pPr>
      <w:r>
        <w:t xml:space="preserve">PBT — СБТ (стойкое, биоаккумулятивное и токсичное вещество).</w:t>
      </w:r>
    </w:p>
    <w:p>
      <w:pPr>
        <w:spacing w:after="80"/>
      </w:pPr>
      <w:r>
        <w:t xml:space="preserve">vPvB — оСБсБ (очень стойкое и очень биоаккумулятивное вещество).</w:t>
      </w:r>
    </w:p>
    <w:p>
      <w:pPr>
        <w:spacing w:after="80"/>
      </w:pPr>
      <w:r>
        <w:t xml:space="preserve">Flam. Liq. 3 — легковоспламеняющиеся жидкости, категория 3.</w:t>
      </w:r>
    </w:p>
    <w:p>
      <w:pPr>
        <w:spacing w:after="80"/>
      </w:pPr>
      <w:r>
        <w:t xml:space="preserve">Skin Sens. 1B — сенсибилизация кожи, категория 1B.</w:t>
      </w:r>
    </w:p>
    <w:p>
      <w:pPr>
        <w:spacing w:after="80"/>
      </w:pPr>
      <w: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2026-07-13T11:37:34.691Z</dcterms:created>
  <dcterms:modified xsi:type="dcterms:W3CDTF">2026-07-13T11:37:34.692Z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