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UZIN MK 92 S Comp. A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t xml:space="preserve">Торговое название: UZIN MK 92 S Comp. A</w:t>
      </w:r>
    </w:p>
    <w:p>
      <w:pPr>
        <w:spacing w:after="60" w:before="12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применения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Только для профессионального использования.</w:t>
      </w:r>
    </w:p>
    <w:p>
      <w:pPr>
        <w:spacing w:after="60" w:before="120"/>
      </w:pPr>
      <w:r>
        <w:rPr>
          <w:b/>
          <w:bCs/>
        </w:rPr>
        <w:t xml:space="preserve">Категория продукта</w:t>
      </w:r>
    </w:p>
    <w:p>
      <w:pPr>
        <w:spacing w:after="80"/>
      </w:pPr>
      <w:r>
        <w:t xml:space="preserve">PC1 Клеи, герметики</w:t>
      </w:r>
    </w:p>
    <w:p>
      <w:pPr>
        <w:spacing w:after="60" w:before="120"/>
      </w:pPr>
      <w:r>
        <w:rPr>
          <w:b/>
          <w:bCs/>
        </w:rPr>
        <w:t xml:space="preserve">Применение вещества/смеси</w:t>
      </w:r>
    </w:p>
    <w:p>
      <w:pPr>
        <w:spacing w:after="80"/>
      </w:pPr>
      <w:r>
        <w:t xml:space="preserve">Паркетный клей на основе ПУ (компонент A)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t xml:space="preserve">Производитель: UZIN UTZ AG, Dieselstraße 3, D-89079 Ulm. Тел.: +49 (0)731 4097-0. Факс: +49 (0)731 4097-110</w:t>
      </w:r>
    </w:p>
    <w:p>
      <w:pPr>
        <w:spacing w:after="80"/>
      </w:pPr>
      <w:r>
        <w:t xml:space="preserve">Поставщик в Великобритании: Uzin Utz UK Ltd., Unit 2, Mitchell Court, Central Park, Rugby, Warwickshire, CV23 0UY. Тел. +44 (0) 1788 530 080. Факс +44 (0) 1788 536508. Email info@uk.uzin-utz.com</w:t>
      </w:r>
    </w:p>
    <w:p>
      <w:pPr>
        <w:spacing w:after="80"/>
      </w:pPr>
      <w:r>
        <w:t xml:space="preserve">Дополнительную информацию можно получить: Отдел безопасности продукции, email: msds.info@uzin-utz.com</w:t>
      </w:r>
    </w:p>
    <w:p>
      <w:pPr>
        <w:spacing w:after="60" w:before="120"/>
      </w:pPr>
      <w:r>
        <w:rPr>
          <w:b/>
          <w:bCs/>
        </w:rPr>
        <w:t xml:space="preserve">1.4 Номер телефона для экстренных случаев</w:t>
      </w:r>
    </w:p>
    <w:p>
      <w:pPr>
        <w:spacing w:after="80"/>
      </w:pPr>
      <w:r>
        <w:t xml:space="preserve">Медицинские экстренные случаи (Информационный токсикологический центр GIZ-Nord): +49 551 19240</w:t>
      </w:r>
    </w:p>
    <w:p>
      <w:pPr>
        <w:spacing w:after="80"/>
      </w:pPr>
      <w:r>
        <w:t xml:space="preserve">Экстренные случаи при транспортировке: +49 621 60 43 333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t xml:space="preserve">Продукт не классифицирован согласно регламенту CLP.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Также соблюдать указания паспорта безопасности компонента B.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t xml:space="preserve">Маркировка согласно Регламенту (ЕС) № 1272/2008: Void</w:t>
      </w:r>
    </w:p>
    <w:p>
      <w:pPr>
        <w:spacing w:after="80"/>
      </w:pPr>
      <w:r>
        <w:t xml:space="preserve">Пиктограммы опасности: Void</w:t>
      </w:r>
    </w:p>
    <w:p>
      <w:pPr>
        <w:spacing w:after="80"/>
      </w:pPr>
      <w:r>
        <w:t xml:space="preserve">Сигнальное слово: Void</w:t>
      </w:r>
    </w:p>
    <w:p>
      <w:pPr>
        <w:spacing w:after="80"/>
      </w:pPr>
      <w:r>
        <w:t xml:space="preserve">Указания на опасность: Void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Состав/информация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t xml:space="preserve">Описание: паркетный клей на основе ПУ (компонент A).</w:t>
      </w:r>
    </w:p>
    <w:p>
      <w:pPr>
        <w:spacing w:after="60" w:before="120"/>
      </w:pPr>
      <w:r>
        <w:rPr>
          <w:b/>
          <w:bCs/>
        </w:rPr>
        <w:t xml:space="preserve">Опасные компоненты</w:t>
      </w:r>
    </w:p>
    <w:p>
      <w:pPr>
        <w:spacing w:after="80"/>
      </w:pPr>
      <w:r>
        <w:t xml:space="preserve">Void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60" w:before="120"/>
      </w:pPr>
      <w:r>
        <w:rPr>
          <w:b/>
          <w:bCs/>
        </w:rPr>
        <w:t xml:space="preserve">Общая информация</w:t>
      </w:r>
    </w:p>
    <w:p>
      <w:pPr>
        <w:spacing w:after="80"/>
      </w:pPr>
      <w:r>
        <w:t xml:space="preserve">Особых мер не требуется. Также соблюдать указания паспорта безопасности компонента B.</w:t>
      </w:r>
    </w:p>
    <w:p>
      <w:pPr>
        <w:spacing w:after="60" w:before="120"/>
      </w:pPr>
      <w:r>
        <w:rPr>
          <w:b/>
          <w:bCs/>
        </w:rPr>
        <w:t xml:space="preserve">После вдыхания</w:t>
      </w:r>
    </w:p>
    <w:p>
      <w:pPr>
        <w:spacing w:after="80"/>
      </w:pPr>
      <w:r>
        <w:t xml:space="preserve">В случае потери сознания уложить пострадавшего устойчиво на бок для транспортировки.</w:t>
      </w:r>
    </w:p>
    <w:p>
      <w:pPr>
        <w:spacing w:after="60" w:before="120"/>
      </w:pPr>
      <w:r>
        <w:rPr>
          <w:b/>
          <w:bCs/>
        </w:rPr>
        <w:t xml:space="preserve">После контакта с кожей</w:t>
      </w:r>
    </w:p>
    <w:p>
      <w:pPr>
        <w:spacing w:after="80"/>
      </w:pPr>
      <w:r>
        <w:t xml:space="preserve">Немедленно промыть водой с мылом и тщательно ополоснуть.</w:t>
      </w:r>
    </w:p>
    <w:p>
      <w:pPr>
        <w:spacing w:after="60" w:before="120"/>
      </w:pPr>
      <w:r>
        <w:rPr>
          <w:b/>
          <w:bCs/>
        </w:rPr>
        <w:t xml:space="preserve">После контакта с глазами</w:t>
      </w:r>
    </w:p>
    <w:p>
      <w:pPr>
        <w:spacing w:after="80"/>
      </w:pPr>
      <w:r>
        <w:t xml:space="preserve">Промывать открытый глаз в течение нескольких минут под проточной водой. Затем обратиться к врачу.</w:t>
      </w:r>
    </w:p>
    <w:p>
      <w:pPr>
        <w:spacing w:after="60" w:before="120"/>
      </w:pPr>
      <w:r>
        <w:rPr>
          <w:b/>
          <w:bCs/>
        </w:rPr>
        <w:t xml:space="preserve">После проглатывания</w:t>
      </w:r>
    </w:p>
    <w:p>
      <w:pPr>
        <w:spacing w:after="80"/>
      </w:pPr>
      <w:r>
        <w:t xml:space="preserve">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</w:rPr>
        <w:t xml:space="preserve">4.2 Наиболее важные симптомы и эффекты, острые и отсроченные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t xml:space="preserve">Также соблюдать указания паспорта безопасности компонента B.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60" w:before="120"/>
      </w:pPr>
      <w:r>
        <w:rPr>
          <w:b/>
          <w:bCs/>
        </w:rPr>
        <w:t xml:space="preserve">Подходящие средства пожаротушения</w:t>
      </w:r>
    </w:p>
    <w:p>
      <w:pPr>
        <w:spacing w:after="80"/>
      </w:pPr>
      <w:r>
        <w:t xml:space="preserve">CO₂, порошок или водяное распыление. При крупных пожарах — водяное распыление или спиртостойкая пена.</w:t>
      </w:r>
    </w:p>
    <w:p>
      <w:pPr>
        <w:spacing w:after="60" w:before="120"/>
      </w:pPr>
      <w:r>
        <w:rPr>
          <w:b/>
          <w:bCs/>
        </w:rPr>
        <w:t xml:space="preserve">Средства пожаротушения, непригодные по соображениям безопасности</w:t>
      </w:r>
    </w:p>
    <w:p>
      <w:pPr>
        <w:spacing w:after="80"/>
      </w:pPr>
      <w:r>
        <w:t xml:space="preserve">Вода со сплошной струёй.</w:t>
      </w:r>
    </w:p>
    <w:p>
      <w:pPr>
        <w:spacing w:after="60" w:before="120"/>
      </w:pPr>
      <w:r>
        <w:rPr>
          <w:b/>
          <w:bCs/>
        </w:rPr>
        <w:t xml:space="preserve">5.2 Особые опасности, исходящие от вещества или смеси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60" w:before="120"/>
      </w:pPr>
      <w:r>
        <w:rPr>
          <w:b/>
          <w:bCs/>
        </w:rPr>
        <w:t xml:space="preserve">Защитное оборудование</w:t>
      </w:r>
    </w:p>
    <w:p>
      <w:pPr>
        <w:spacing w:after="80"/>
      </w:pPr>
      <w:r>
        <w:t xml:space="preserve">Средство защиты органов дыхания (изолирующее).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6.1 Меры личной предосторожности, защитное оборудование и порядок действий в чрезвычайной ситуации</w:t>
      </w:r>
    </w:p>
    <w:p>
      <w:pPr>
        <w:spacing w:after="80"/>
      </w:pPr>
      <w:r>
        <w:t xml:space="preserve">Использовать защитное снаряжение. Не допускать посторонних лиц без защиты.</w:t>
      </w:r>
    </w:p>
    <w:p>
      <w:pPr>
        <w:spacing w:after="60" w:before="120"/>
      </w:pPr>
      <w:r>
        <w:rPr>
          <w:b/>
          <w:bCs/>
        </w:rPr>
        <w:t xml:space="preserve">6.2 Меры предосторожности для окружающей среды</w:t>
      </w:r>
    </w:p>
    <w:p>
      <w:pPr>
        <w:spacing w:after="80"/>
      </w:pPr>
      <w: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Собрать с помощью жидкосвязывающего материала (песок, диатомит, кислотосвязывающие вещества, универсальные сорбенты, опилки). Утилизировать загрязнённый материал как отход согласно разделу 13.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Опасные вещества не выделяются.</w:t>
      </w:r>
    </w:p>
    <w:p>
      <w:pPr>
        <w:spacing w:after="80"/>
      </w:pPr>
      <w:r>
        <w:t xml:space="preserve">См. раздел 7 — сведения о безопасном обращении.</w:t>
      </w:r>
    </w:p>
    <w:p>
      <w:pPr>
        <w:spacing w:after="80"/>
      </w:pPr>
      <w:r>
        <w:t xml:space="preserve">См. раздел 8 — сведения о средствах индивидуальной защиты.</w:t>
      </w:r>
    </w:p>
    <w:p>
      <w:pPr>
        <w:spacing w:after="80"/>
      </w:pPr>
      <w:r>
        <w:t xml:space="preserve">См. раздел 13 — сведения по утилизации.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0"/>
      </w:pPr>
      <w:r>
        <w:t xml:space="preserve">● Использовать подходящую защитную одежду, перчатки и защиту глаз/лица.</w:t>
      </w:r>
    </w:p>
    <w:p>
      <w:pPr>
        <w:spacing w:after="0"/>
      </w:pPr>
      <w:r>
        <w:t xml:space="preserve">● Немедленно снимать всю загрязнённую и пропитанную одежду.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Хранить вдали от пищевых продуктов, напитков и корма для животных.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0"/>
      </w:pPr>
      <w:r>
        <w:t xml:space="preserve">● Также соблюдать указания паспорта безопасности компонента B.</w:t>
      </w:r>
    </w:p>
    <w:p>
      <w:pPr>
        <w:spacing w:after="60" w:before="120"/>
      </w:pPr>
      <w:r>
        <w:rPr>
          <w:b/>
          <w:bCs/>
        </w:rPr>
        <w:t xml:space="preserve">Информация по пожаро- и взрывобезопасности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7.2 Условия безопасного хранения с учётом несовместимости</w:t>
      </w:r>
    </w:p>
    <w:p>
      <w:pPr>
        <w:spacing w:after="60" w:before="120"/>
      </w:pPr>
      <w:r>
        <w:rPr>
          <w:b/>
          <w:bCs/>
        </w:rPr>
        <w:t xml:space="preserve">Требования к складским помещениям и ёмкостям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Информация о совместном хранении</w:t>
      </w:r>
    </w:p>
    <w:p>
      <w:pPr>
        <w:spacing w:after="80"/>
      </w:pPr>
      <w:r>
        <w:t xml:space="preserve">Не требуется.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 об условиях хранения</w:t>
      </w:r>
    </w:p>
    <w:p>
      <w:pPr>
        <w:spacing w:after="80"/>
      </w:pPr>
      <w:r>
        <w:t xml:space="preserve">Держать ёмкость плотно закрытой.</w:t>
      </w:r>
    </w:p>
    <w:p>
      <w:pPr>
        <w:spacing w:after="60" w:before="120"/>
      </w:pPr>
      <w:r>
        <w:rPr>
          <w:b/>
          <w:bCs/>
        </w:rPr>
        <w:t xml:space="preserve">7.3 Особые конечные применения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воздействия/средства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60" w:before="120"/>
      </w:pPr>
      <w:r>
        <w:rPr>
          <w:b/>
          <w:bCs/>
        </w:rPr>
        <w:t xml:space="preserve">Компоненты с предельными значениями, подлежащими контролю на рабочем месте</w:t>
      </w:r>
    </w:p>
    <w:p>
      <w:pPr>
        <w:spacing w:after="80"/>
      </w:pPr>
      <w:r>
        <w:t xml:space="preserve">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60" w:before="120"/>
      </w:pPr>
      <w:r>
        <w:rPr>
          <w:b/>
          <w:bCs/>
        </w:rPr>
        <w:t xml:space="preserve">Соответствующие технические меры контроля</w:t>
      </w:r>
    </w:p>
    <w:p>
      <w:pPr>
        <w:spacing w:after="80"/>
      </w:pP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Индивидуальные меры защиты, включая средства индивидуальной защиты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</w:t>
      </w:r>
    </w:p>
    <w:p>
      <w:pPr>
        <w:spacing w:after="0"/>
      </w:pPr>
      <w:r>
        <w:t xml:space="preserve">● Соблюдать обычные меры предосторожности при обращении с химическими веществами.</w:t>
      </w:r>
    </w:p>
    <w:p>
      <w:pPr>
        <w:spacing w:after="0"/>
      </w:pPr>
      <w:r>
        <w:t xml:space="preserve">● Немедленно снимать всю загрязнённую и пропитанную одежду.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Использовать подходящую защитную одежду, перчатки и защиту глаз/лица.</w:t>
      </w:r>
    </w:p>
    <w:p>
      <w:pPr>
        <w:spacing w:after="0"/>
      </w:pPr>
      <w:r>
        <w:t xml:space="preserve">● Хранить вдали от пищевых продуктов, напитков и корма для животных.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0"/>
      </w:pPr>
      <w:r>
        <w:t xml:space="preserve">● Также соблюдать указания паспорта безопасности компонента B.</w:t>
      </w:r>
    </w:p>
    <w:p>
      <w:pPr>
        <w:spacing w:after="60" w:before="120"/>
      </w:pPr>
      <w:r>
        <w:rPr>
          <w:b/>
          <w:bCs/>
        </w:rPr>
        <w:t xml:space="preserve">Защита органов дыхания</w:t>
      </w:r>
    </w:p>
    <w:p>
      <w:pPr>
        <w:spacing w:after="80"/>
      </w:pPr>
      <w:r>
        <w:t xml:space="preserve">Не требуется. Обеспечить хорошую вентиляцию помещения во время работы. В недостаточно вентилируемых зонах требуется защита органов дыхания. Рекомендуется маска с принудительной подачей воздуха или, для кратковременных работ, комбинированный угольный и аэрозольный фильтр (A2-P2).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Использовать перчатки из стабильного материала (например, нитрил), при необходимости с трикотажной подкладкой для улучшения носкости (EN 374).</w:t>
      </w:r>
    </w:p>
    <w:p>
      <w:pPr>
        <w:spacing w:after="60" w:before="120"/>
      </w:pPr>
      <w:r>
        <w:rPr>
          <w:b/>
          <w:bCs/>
        </w:rPr>
        <w:t xml:space="preserve">Материал перчаток</w:t>
      </w:r>
    </w:p>
    <w:p>
      <w:pPr>
        <w:spacing w:after="80"/>
      </w:pPr>
      <w:r>
        <w:t xml:space="preserve">Бутилкаучук (BR), нитрильный каучук (NBR). Рекомендуемая толщина материала: ≥ 0,5 мм.</w:t>
      </w:r>
    </w:p>
    <w:p>
      <w:pPr>
        <w:spacing w:after="60" w:before="120"/>
      </w:pPr>
      <w:r>
        <w:rPr>
          <w:b/>
          <w:bCs/>
        </w:rPr>
        <w:t xml:space="preserve">Время проникновения материала перчаток</w:t>
      </w:r>
    </w:p>
    <w:p>
      <w:pPr>
        <w:spacing w:after="80"/>
      </w:pP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60" w:before="120"/>
      </w:pPr>
      <w:r>
        <w:rPr>
          <w:b/>
          <w:bCs/>
        </w:rPr>
        <w:t xml:space="preserve">Защита глаз/лица</w:t>
      </w:r>
    </w:p>
    <w:p>
      <w:pPr>
        <w:spacing w:after="80"/>
      </w:pPr>
      <w:r>
        <w:t xml:space="preserve">Плотно прилегающие защитные очки или щиток для лица (EN 166).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9.1 Сведения об основных физических и химических свойствах</w:t>
      </w:r>
    </w:p>
    <w:p>
      <w:pPr>
        <w:spacing w:after="80"/>
      </w:pPr>
      <w:r>
        <w:t xml:space="preserve">Агрегатное состояние: жидкое (текучее)</w:t>
      </w:r>
    </w:p>
    <w:p>
      <w:pPr>
        <w:spacing w:after="80"/>
      </w:pPr>
      <w:r>
        <w:t xml:space="preserve">Цвет: бежевый</w:t>
      </w:r>
    </w:p>
    <w:p>
      <w:pPr>
        <w:spacing w:after="80"/>
      </w:pPr>
      <w:r>
        <w:t xml:space="preserve">Запах: слабый</w:t>
      </w:r>
    </w:p>
    <w:p>
      <w:pPr>
        <w:spacing w:after="80"/>
      </w:pPr>
      <w:r>
        <w:t xml:space="preserve">Порог восприятия запаха: не определён.</w:t>
      </w:r>
    </w:p>
    <w:p>
      <w:pPr>
        <w:spacing w:after="80"/>
      </w:pPr>
      <w:r>
        <w:t xml:space="preserve">Точка плавления/замерзания: не определена.</w:t>
      </w:r>
    </w:p>
    <w:p>
      <w:pPr>
        <w:spacing w:after="80"/>
      </w:pPr>
      <w:r>
        <w:t xml:space="preserve">Точка кипения или начальная точка кипения и диапазон кипения: не определены.</w:t>
      </w:r>
    </w:p>
    <w:p>
      <w:pPr>
        <w:spacing w:after="80"/>
      </w:pPr>
      <w:r>
        <w:t xml:space="preserve">Воспламеняемость: не применимо.</w:t>
      </w:r>
    </w:p>
    <w:p>
      <w:pPr>
        <w:spacing w:after="80"/>
      </w:pPr>
      <w:r>
        <w:t xml:space="preserve">Нижний и верхний пределы взрываемости: не определены.</w:t>
      </w:r>
    </w:p>
    <w:p>
      <w:pPr>
        <w:spacing w:after="80"/>
      </w:pPr>
      <w:r>
        <w:t xml:space="preserve">Температура вспышки: не применимо.</w:t>
      </w:r>
    </w:p>
    <w:p>
      <w:pPr>
        <w:spacing w:after="80"/>
      </w:pPr>
      <w:r>
        <w:t xml:space="preserve">Температура самовоспламенения: продукт не является самовоспламеняющимся.</w:t>
      </w:r>
    </w:p>
    <w:p>
      <w:pPr>
        <w:spacing w:after="80"/>
      </w:pPr>
      <w:r>
        <w:t xml:space="preserve">Температура разложения: не определена.</w:t>
      </w:r>
    </w:p>
    <w:p>
      <w:pPr>
        <w:spacing w:after="80"/>
      </w:pPr>
      <w:r>
        <w:t xml:space="preserve">pH: не определён.</w:t>
      </w:r>
    </w:p>
    <w:p>
      <w:pPr>
        <w:spacing w:after="80"/>
      </w:pPr>
      <w:r>
        <w:t xml:space="preserve">Кинематическая вязкость: не определена.</w:t>
      </w:r>
    </w:p>
    <w:p>
      <w:pPr>
        <w:spacing w:after="80"/>
      </w:pPr>
      <w:r>
        <w:t xml:space="preserve">Динамическая вязкость при 20 °C: 180 000 мПа·с.</w:t>
      </w:r>
    </w:p>
    <w:p>
      <w:pPr>
        <w:spacing w:after="60" w:before="120"/>
      </w:pPr>
      <w:r>
        <w:rPr>
          <w:b/>
          <w:bCs/>
        </w:rPr>
        <w:t xml:space="preserve">Растворимость</w:t>
      </w:r>
    </w:p>
    <w:p>
      <w:pPr>
        <w:spacing w:after="80"/>
      </w:pPr>
      <w:r>
        <w:t xml:space="preserve">Вода: не смешивается или трудно смешивается.</w:t>
      </w:r>
    </w:p>
    <w:p>
      <w:pPr>
        <w:spacing w:after="80"/>
      </w:pPr>
      <w:r>
        <w:t xml:space="preserve">Коэффициент распределения н-октанол/вода (log-значение): не определён.</w:t>
      </w:r>
    </w:p>
    <w:p>
      <w:pPr>
        <w:spacing w:after="80"/>
      </w:pPr>
      <w:r>
        <w:t xml:space="preserve">Давление паров: не определено.</w:t>
      </w:r>
    </w:p>
    <w:p>
      <w:pPr>
        <w:spacing w:after="80"/>
      </w:pPr>
      <w:r>
        <w:t xml:space="preserve">Плотность при 20 °C: 1,6 г/см³. Относительная плотность: не определена. Плотность паров: не определена.</w:t>
      </w: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t xml:space="preserve">Форма: пастообразная.</w:t>
      </w:r>
    </w:p>
    <w:p>
      <w:pPr>
        <w:spacing w:after="80"/>
      </w:pPr>
      <w: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t xml:space="preserve">Скорость испарения: не определена.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t xml:space="preserve">Взрывчатые вещества — Void; горючие газы — Void; аэрозоли — Void; окисляющие газы — Void; газы под давлением — Void; легковоспламеняющиеся жидкости — Void; легковоспламеняющиеся твёрдые вещества — Void; саморазлагающиеся вещества и смеси — Void; пирофорные жидкости — Void; пирофорные твёрдые вещества — Void; самонагревающиеся вещества и смеси — Void; вещества и смеси, выделяющие легковоспламеняющиеся газы при контакте с водой — Void; окисляющие жидкости — Void; окисляющие твёрдые вещества — Void; органические пероксиды — Void; коррозионное воздействие на металлы — Void; десенсибилизированные взрывчатые вещества — Void.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10.1 Реакционная способность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10.2 Химическая стабильность</w:t>
      </w:r>
    </w:p>
    <w:p>
      <w:pPr>
        <w:spacing w:after="80"/>
      </w:pPr>
      <w:r>
        <w:t xml:space="preserve">Термическое разложение/условия, которых следует избегать: разложения не происходит при использовании по назначению.</w:t>
      </w:r>
    </w:p>
    <w:p>
      <w:pPr>
        <w:spacing w:after="60" w:before="120"/>
      </w:pPr>
      <w:r>
        <w:rPr>
          <w:b/>
          <w:bCs/>
        </w:rPr>
        <w:t xml:space="preserve">10.3 Возможность опасных реакций</w:t>
      </w:r>
    </w:p>
    <w:p>
      <w:pPr>
        <w:spacing w:after="80"/>
      </w:pPr>
      <w:r>
        <w:t xml:space="preserve">Опасных реакций не выявлено.</w:t>
      </w:r>
    </w:p>
    <w:p>
      <w:pPr>
        <w:spacing w:after="60" w:before="120"/>
      </w:pPr>
      <w:r>
        <w:rPr>
          <w:b/>
          <w:bCs/>
        </w:rPr>
        <w:t xml:space="preserve">10.4 Условия, которых следует избегать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10.5 Несовместимые материалы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10.6 Опасные продукты разложения</w:t>
      </w:r>
    </w:p>
    <w:p>
      <w:pPr>
        <w:spacing w:after="80"/>
      </w:pPr>
      <w:r>
        <w:t xml:space="preserve">Опасные продукты разложения неизвестны.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Также соблюдать указания паспорта безопасности компонента B.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11.1 Сведения о классах опасности согласно Регламенту (ЕС) № 1272/2008</w:t>
      </w:r>
    </w:p>
    <w:p>
      <w:pPr>
        <w:spacing w:after="60" w:before="120"/>
      </w:pPr>
      <w:r>
        <w:rPr>
          <w:b/>
          <w:bCs/>
        </w:rPr>
        <w:t xml:space="preserve">Острая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Разъедание/раздражение кожи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Серьёзное повреждение/раздражение глаз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Сенсибилизация дыхательных путей или кожи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Мутагенность зародышевых клеток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Канцерогенность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Репродуктивная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(однократное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(повторное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Опасность при аспирации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Дополнительная токсикологическая информация</w:t>
      </w:r>
    </w:p>
    <w:p>
      <w:pPr>
        <w:spacing w:after="80"/>
      </w:pPr>
      <w:r>
        <w:t xml:space="preserve">Также соблюдать указания паспорта безопасности компонента B.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60" w:before="120"/>
      </w:pPr>
      <w:r>
        <w:rPr>
          <w:b/>
          <w:bCs/>
        </w:rPr>
        <w:t xml:space="preserve">Свойства эндокринных разрушителей</w:t>
      </w:r>
    </w:p>
    <w:p>
      <w:pPr>
        <w:spacing w:after="80"/>
      </w:pPr>
      <w:r>
        <w:t xml:space="preserve">Ни один из компонентов не включён в соответствующие перечни.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12.1 Токсичность</w:t>
      </w:r>
    </w:p>
    <w:p>
      <w:pPr>
        <w:spacing w:after="60" w:before="120"/>
      </w:pPr>
      <w:r>
        <w:rPr>
          <w:b/>
          <w:bCs/>
        </w:rPr>
        <w:t xml:space="preserve">Токсичность для водных организмов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12.2 Стойкость и способность к разложению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12.3 Биоаккумулятивный потенциал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12.4 Подвижность в почве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60" w:before="120"/>
      </w:pPr>
      <w:r>
        <w:rPr>
          <w:b/>
          <w:bCs/>
        </w:rPr>
        <w:t xml:space="preserve">Общие указания</w:t>
      </w:r>
    </w:p>
    <w:p>
      <w:pPr>
        <w:spacing w:after="80"/>
      </w:pPr>
      <w:r>
        <w:t xml:space="preserve">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13.1 Методы обращения с отходами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Не допускать попадания продукта в канализацию. Смешать оба компонента продукта, дать затвердеть, затем утилизировать как строительные отходы. Утилизация должна проводиться в соответствии с местным, региональным или национальным законодательством.</w:t>
      </w:r>
    </w:p>
    <w:p>
      <w:pPr>
        <w:spacing w:after="60" w:before="120"/>
      </w:pPr>
      <w:r>
        <w:rPr>
          <w:b/>
          <w:bCs/>
        </w:rPr>
        <w:t xml:space="preserve">Загрязнённая упаковка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Тщательно очищать загрязнённую упаковку. После тщательной и надлежащей очистки она может быть переработана.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14.1 Номер ООН или идентификационный номер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14.2 Надлежащее отгрузочное наименование ООН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14.3 Класс(-ы) опасности при транспортировке</w:t>
      </w:r>
    </w:p>
    <w:p>
      <w:pPr>
        <w:spacing w:after="80"/>
      </w:pPr>
      <w:r>
        <w:t xml:space="preserve">ADR, ADN, IMDG, IATA — класс: Void</w:t>
      </w:r>
    </w:p>
    <w:p>
      <w:pPr>
        <w:spacing w:after="60" w:before="120"/>
      </w:pPr>
      <w:r>
        <w:rPr>
          <w:b/>
          <w:bCs/>
        </w:rPr>
        <w:t xml:space="preserve">14.4 Группа упаковки</w:t>
      </w:r>
    </w:p>
    <w:p>
      <w:pPr>
        <w:spacing w:after="80"/>
      </w:pPr>
      <w:r>
        <w:t xml:space="preserve">ADR, IMDG, IATA: Void</w:t>
      </w:r>
    </w:p>
    <w:p>
      <w:pPr>
        <w:spacing w:after="60" w:before="120"/>
      </w:pPr>
      <w:r>
        <w:rPr>
          <w:b/>
          <w:bCs/>
        </w:rPr>
        <w:t xml:space="preserve">14.5 Опасность для окружающей среды</w:t>
      </w:r>
    </w:p>
    <w:p>
      <w:pPr>
        <w:spacing w:after="80"/>
      </w:pPr>
      <w:r>
        <w:t xml:space="preserve">Загрязнитель морской среды: нет.</w:t>
      </w:r>
    </w:p>
    <w:p>
      <w:pPr>
        <w:spacing w:after="60" w:before="120"/>
      </w:pPr>
      <w:r>
        <w:rPr>
          <w:b/>
          <w:bCs/>
        </w:rPr>
        <w:t xml:space="preserve">14.6 Особые меры предосторожности для пользователя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14.7 Морская перевозка навалом согласно документам ИМО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Транспортировка/Дополнительная информация</w:t>
      </w:r>
    </w:p>
    <w:p>
      <w:pPr>
        <w:spacing w:after="80"/>
      </w:pPr>
      <w:r>
        <w:t xml:space="preserve">Не является опасным согласно указанным характеристикам.</w:t>
      </w:r>
    </w:p>
    <w:p>
      <w:pPr>
        <w:spacing w:after="60" w:before="120"/>
      </w:pPr>
      <w:r>
        <w:rPr>
          <w:b/>
          <w:bCs/>
        </w:rPr>
        <w:t xml:space="preserve">Типовые правила ООН</w:t>
      </w:r>
    </w:p>
    <w:p>
      <w:pPr>
        <w:spacing w:after="80"/>
      </w:pPr>
      <w:r>
        <w:t xml:space="preserve">Void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15.1 Правила техники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t xml:space="preserve">Опасные вещества, поименованные в Приложении I: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РЕГЛАМЕНТ (ЕС) 2019/1148</w:t>
      </w:r>
    </w:p>
    <w:p>
      <w:pPr>
        <w:spacing w:after="80"/>
      </w:pPr>
      <w:r>
        <w:t xml:space="preserve">Регламент (ЕС) № 273/2004 о прекурсорах наркотических веществ: ни один из компонентов не включён в перечень.</w:t>
      </w:r>
    </w:p>
    <w:p>
      <w:pPr>
        <w:spacing w:after="80"/>
      </w:pPr>
      <w:r>
        <w:t xml:space="preserve">Регламент (ЕС) № 111/2005 о мониторинге торговли прекурсорами наркотических веществ между Сообществом и третьими странами: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15.2 Оценка химической безопасности</w:t>
      </w:r>
    </w:p>
    <w:p>
      <w:pPr>
        <w:spacing w:after="80"/>
      </w:pPr>
      <w: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t xml:space="preserve">Данная информация основана на текущем уровне наших знаний. Однако она не является гарантией каких-либо конкретных свойств продукта и не создаёт юридически действительных договорных отношений.</w:t>
      </w:r>
    </w:p>
    <w:p>
      <w:pPr>
        <w:spacing w:after="60" w:before="120"/>
      </w:pPr>
      <w:r>
        <w:rPr>
          <w:b/>
          <w:bCs/>
        </w:rPr>
        <w:t xml:space="preserve">Отдел, выпустивший паспорт безопасности</w:t>
      </w:r>
    </w:p>
    <w:p>
      <w:pPr>
        <w:spacing w:after="80"/>
      </w:pPr>
      <w:r>
        <w:t xml:space="preserve">Отдел безопасности продукции.</w:t>
      </w:r>
    </w:p>
    <w:p>
      <w:pPr>
        <w:spacing w:after="60" w:before="120"/>
      </w:pPr>
      <w:r>
        <w:rPr>
          <w:b/>
          <w:bCs/>
        </w:rPr>
        <w:t xml:space="preserve">Контакт</w:t>
      </w:r>
    </w:p>
    <w:p>
      <w:pPr>
        <w:spacing w:after="80"/>
      </w:pPr>
      <w:r>
        <w:t xml:space="preserve">Отдел безопасности продукции. Телефон: +49 (0)731 4097 207. E-mail: msds.info@uzin-utz.com</w:t>
      </w:r>
    </w:p>
    <w:p>
      <w:pPr>
        <w:spacing w:after="60" w:before="120"/>
      </w:pPr>
      <w:r>
        <w:rPr>
          <w:b/>
          <w:bCs/>
        </w:rPr>
        <w:t xml:space="preserve">Сокращения и акронимы</w:t>
      </w:r>
    </w:p>
    <w:p>
      <w:pPr>
        <w:spacing w:after="80"/>
      </w:pPr>
      <w:r>
        <w:t xml:space="preserve">RID — Правила международной перевозки опасных грузов по железным дорогам.</w:t>
      </w:r>
    </w:p>
    <w:p>
      <w:pPr>
        <w:spacing w:after="80"/>
      </w:pPr>
      <w:r>
        <w:t xml:space="preserve">ICAO — Международная организация гражданской авиации.</w:t>
      </w:r>
    </w:p>
    <w:p>
      <w:pPr>
        <w:spacing w:after="80"/>
      </w:pPr>
      <w:r>
        <w:t xml:space="preserve">ADR — Европейское соглашение о международной дорожной перевозке опасных грузов.</w:t>
      </w:r>
    </w:p>
    <w:p>
      <w:pPr>
        <w:spacing w:after="80"/>
      </w:pPr>
      <w:r>
        <w:t xml:space="preserve">IMDG — Международный морской кодекс по опасным грузам.</w:t>
      </w:r>
    </w:p>
    <w:p>
      <w:pPr>
        <w:spacing w:after="80"/>
      </w:pPr>
      <w:r>
        <w:t xml:space="preserve">IATA — Международная ассоциация воздушного транспорта.</w:t>
      </w:r>
    </w:p>
    <w:p>
      <w:pPr>
        <w:spacing w:after="80"/>
      </w:pPr>
      <w:r>
        <w:t xml:space="preserve">GHS — Согласованная на глобальном уровне система классификации и маркировки химических веществ.</w:t>
      </w:r>
    </w:p>
    <w:p>
      <w:pPr>
        <w:spacing w:after="80"/>
      </w:pPr>
      <w:r>
        <w:t xml:space="preserve">EINECS — Европейский реестр существующих коммерческих химических веществ.</w:t>
      </w:r>
    </w:p>
    <w:p>
      <w:pPr>
        <w:spacing w:after="80"/>
      </w:pPr>
      <w:r>
        <w:t xml:space="preserve">ELINCS — Европейский список зарегистрированных химических веществ.</w:t>
      </w:r>
    </w:p>
    <w:p>
      <w:pPr>
        <w:spacing w:after="80"/>
      </w:pPr>
      <w:r>
        <w:t xml:space="preserve">CAS — Служба реферирования химических веществ (подразделение Американского химического общества).</w:t>
      </w:r>
    </w:p>
    <w:p>
      <w:pPr>
        <w:spacing w:after="80"/>
      </w:pPr>
      <w:r>
        <w:t xml:space="preserve">PBT — СБТ (стойкое, биоаккумулятивное и токсичное вещество).</w:t>
      </w:r>
    </w:p>
    <w:p>
      <w:pPr>
        <w:spacing w:after="80"/>
      </w:pPr>
      <w:r>
        <w:t xml:space="preserve">vPvB — оСБсБ (очень стойкое и очень биоаккумулятивное вещество).</w:t>
      </w:r>
    </w:p>
    <w:p>
      <w:pPr>
        <w:spacing w:after="80"/>
      </w:pPr>
      <w: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2026-07-13T11:34:13.222Z</dcterms:created>
  <dcterms:modified xsi:type="dcterms:W3CDTF">2026-07-13T11:34:13.223Z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