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Паспорт безопасности</w:t>
      </w:r>
    </w:p>
    <w:p>
      <w:pPr>
        <w:spacing w:after="200"/>
        <w:jc w:val="center"/>
      </w:pPr>
      <w:r>
        <w:rPr>
          <w:i/>
          <w:iCs/>
        </w:rPr>
        <w:t xml:space="preserve">согласно 1907/2006/EC, Статья 31</w:t>
      </w:r>
    </w:p>
    <w:p>
      <w:pPr>
        <w:pBdr>
          <w:bottom w:val="single" w:color="000000" w:sz="6" w:space="4"/>
        </w:pBdr>
        <w:spacing w:after="300"/>
        <w:jc w:val="center"/>
      </w:pPr>
      <w:r>
        <w:rPr>
          <w:b/>
          <w:bCs/>
          <w:sz w:val="26"/>
          <w:szCs w:val="26"/>
        </w:rPr>
        <w:t xml:space="preserve">UZIN RK 37</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1: Идентификация вещества/смеси и сведения о компании</w:t>
            </w:r>
          </w:p>
        </w:tc>
      </w:tr>
    </w:tbl>
    <w:p>
      <w:pPr>
        <w:spacing w:after="80"/>
      </w:pPr>
    </w:p>
    <w:p>
      <w:pPr>
        <w:spacing w:after="60" w:before="120"/>
      </w:pPr>
      <w:r>
        <w:rPr>
          <w:b/>
          <w:bCs/>
        </w:rPr>
        <w:t xml:space="preserve">1.1 Идентификатор продукта</w:t>
      </w:r>
    </w:p>
    <w:p>
      <w:pPr>
        <w:spacing w:after="80"/>
      </w:pPr>
      <w:r>
        <w:t xml:space="preserve">Торговое название: UZIN RK 37</w:t>
      </w:r>
    </w:p>
    <w:p>
      <w:pPr>
        <w:spacing w:after="60" w:before="120"/>
      </w:pPr>
      <w:r>
        <w:rPr>
          <w:b/>
          <w:bCs/>
        </w:rPr>
        <w:t xml:space="preserve">1.2 Соответствующие установленные виды использования вещества или смеси и виды использования, не рекомендуемые к применению</w:t>
      </w:r>
    </w:p>
    <w:p>
      <w:pPr>
        <w:spacing w:after="80"/>
      </w:pPr>
      <w:r>
        <w:t xml:space="preserve">Особых требований нет.</w:t>
      </w:r>
    </w:p>
    <w:p>
      <w:pPr>
        <w:spacing w:after="60" w:before="120"/>
      </w:pPr>
      <w:r>
        <w:rPr>
          <w:b/>
          <w:bCs/>
        </w:rPr>
        <w:t xml:space="preserve">Сектор применения</w:t>
      </w:r>
    </w:p>
    <w:p>
      <w:pPr>
        <w:spacing w:after="80"/>
      </w:pPr>
      <w:r>
        <w:t xml:space="preserve">SU19 Строительные работы</w:t>
      </w:r>
    </w:p>
    <w:p>
      <w:pPr>
        <w:spacing w:after="80"/>
      </w:pPr>
      <w:r>
        <w:t xml:space="preserve">SU22 Профессиональное использование: общественная сфера (администрирование, образование, развлечения, услуги, ремесленники)</w:t>
      </w:r>
    </w:p>
    <w:p>
      <w:pPr>
        <w:spacing w:after="80"/>
      </w:pPr>
      <w:r>
        <w:t xml:space="preserve">Только для профессионального использования.</w:t>
      </w:r>
    </w:p>
    <w:p>
      <w:pPr>
        <w:spacing w:after="60" w:before="120"/>
      </w:pPr>
      <w:r>
        <w:rPr>
          <w:b/>
          <w:bCs/>
        </w:rPr>
        <w:t xml:space="preserve">Категория продукта</w:t>
      </w:r>
    </w:p>
    <w:p>
      <w:pPr>
        <w:spacing w:after="80"/>
      </w:pPr>
      <w:r>
        <w:t xml:space="preserve">PC1 Клеи, герметики</w:t>
      </w:r>
    </w:p>
    <w:p>
      <w:pPr>
        <w:spacing w:after="60" w:before="120"/>
      </w:pPr>
      <w:r>
        <w:rPr>
          <w:b/>
          <w:bCs/>
        </w:rPr>
        <w:t xml:space="preserve">Применение вещества/смеси</w:t>
      </w:r>
    </w:p>
    <w:p>
      <w:pPr>
        <w:spacing w:after="80"/>
      </w:pPr>
      <w:r>
        <w:t xml:space="preserve">Однокомпонентный ПУ клей точечной фиксации (Spot-Fix)</w:t>
      </w:r>
    </w:p>
    <w:p>
      <w:pPr>
        <w:spacing w:after="60" w:before="120"/>
      </w:pPr>
      <w:r>
        <w:rPr>
          <w:b/>
          <w:bCs/>
        </w:rPr>
        <w:t xml:space="preserve">1.3 Данные поставщика паспорта безопасности</w:t>
      </w:r>
    </w:p>
    <w:p>
      <w:pPr>
        <w:spacing w:after="80"/>
      </w:pPr>
      <w:r>
        <w:t xml:space="preserve">Производитель: UZIN UTZ AG, Dieselstraße 3, D-89079 Ulm. Тел.: +49 (0)731 4097-0. Факс: +49 (0)731 4097-110</w:t>
      </w:r>
    </w:p>
    <w:p>
      <w:pPr>
        <w:spacing w:after="80"/>
      </w:pPr>
      <w:r>
        <w:t xml:space="preserve">Поставщик в Великобритании: Uzin Utz UK Ltd., Unit 2, Mitchell Court, Central Park, Rugby, Warwickshire, CV23 0UY. Тел. +44 (0) 1788 530 080. Факс +44 (0) 1788 536508. Email info@uk.uzin-utz.com</w:t>
      </w:r>
    </w:p>
    <w:p>
      <w:pPr>
        <w:spacing w:after="80"/>
      </w:pPr>
      <w:r>
        <w:t xml:space="preserve">Дополнительную информацию можно получить: Отдел безопасности продукции, email: msds.info@uzin-utz.com</w:t>
      </w:r>
    </w:p>
    <w:p>
      <w:pPr>
        <w:spacing w:after="60" w:before="120"/>
      </w:pPr>
      <w:r>
        <w:rPr>
          <w:b/>
          <w:bCs/>
        </w:rPr>
        <w:t xml:space="preserve">1.4 Номер телефона для экстренных случаев</w:t>
      </w:r>
    </w:p>
    <w:p>
      <w:pPr>
        <w:spacing w:after="80"/>
      </w:pPr>
      <w:r>
        <w:t xml:space="preserve">Медицинские экстренные случаи (Информационный токсикологический центр GIZ-Nord): +49 551 19240</w:t>
      </w:r>
    </w:p>
    <w:p>
      <w:pPr>
        <w:spacing w:after="80"/>
      </w:pPr>
      <w:r>
        <w:t xml:space="preserve">Экстренные случаи при транспортировке: +49 621 60 43 333</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2: Идентификация опасности</w:t>
            </w:r>
          </w:p>
        </w:tc>
      </w:tr>
    </w:tbl>
    <w:p>
      <w:pPr>
        <w:spacing w:after="80"/>
      </w:pPr>
    </w:p>
    <w:p>
      <w:pPr>
        <w:spacing w:after="60" w:before="120"/>
      </w:pPr>
      <w:r>
        <w:rPr>
          <w:b/>
          <w:bCs/>
        </w:rPr>
        <w:t xml:space="preserve">2.1 Классификация вещества или смеси</w:t>
      </w:r>
    </w:p>
    <w:p>
      <w:pPr>
        <w:spacing w:after="80"/>
      </w:pPr>
      <w:r>
        <w:t xml:space="preserve">Классификация согласно Регламенту (ЕС) № 1272/2008:</w:t>
      </w:r>
    </w:p>
    <w:p>
      <w:pPr>
        <w:spacing w:after="80"/>
      </w:pPr>
      <w:r>
        <w:t xml:space="preserve">GHS08 — опасность для здоровья. Resp. Sens. 1, H334 Может вызывать аллергию или симптомы астмы либо затруднение дыхания при вдыхании. Carc. 2, H351 Предположительно вызывает рак. STOT RE 2, H373 Может вызывать повреждение органов при длительном или многократном воздействии.</w:t>
      </w:r>
    </w:p>
    <w:p>
      <w:pPr>
        <w:spacing w:after="80"/>
      </w:pPr>
      <w:r>
        <w:t xml:space="preserve">GHS07. Acute Tox. 4, H332 Вредно при вдыхании. Skin Irrit. 2, H315 Вызывает раздражение кожи. Eye Irrit. 2, H319 Вызывает серьёзное раздражение глаз. Skin Sens. 1, H317 Может вызывать аллергическую кожную реакцию. STOT SE 3, H335 Может вызывать раздражение дыхательных путей.</w:t>
      </w:r>
    </w:p>
    <w:p>
      <w:pPr>
        <w:spacing w:after="60" w:before="120"/>
      </w:pPr>
      <w:r>
        <w:rPr>
          <w:b/>
          <w:bCs/>
        </w:rPr>
        <w:t xml:space="preserve">2.2 Элементы маркировки</w:t>
      </w:r>
    </w:p>
    <w:p>
      <w:pPr>
        <w:spacing w:after="80"/>
      </w:pPr>
      <w:r>
        <w:t xml:space="preserve">Продукт классифицирован и маркирован согласно регламенту CLP.</w:t>
      </w:r>
    </w:p>
    <w:p>
      <w:pPr>
        <w:spacing w:after="60" w:before="120"/>
      </w:pPr>
      <w:r>
        <w:rPr>
          <w:b/>
          <w:bCs/>
        </w:rPr>
        <w:t xml:space="preserve">Пиктограммы опасности</w:t>
      </w:r>
    </w:p>
    <w:p>
      <w:pPr>
        <w:spacing w:after="80"/>
      </w:pPr>
      <w:r>
        <w:t xml:space="preserve">GHS07, GHS08</w:t>
      </w:r>
    </w:p>
    <w:p>
      <w:pPr>
        <w:spacing w:after="60" w:before="120"/>
      </w:pPr>
      <w:r>
        <w:rPr>
          <w:b/>
          <w:bCs/>
        </w:rPr>
        <w:t xml:space="preserve">Сигнальное слово</w:t>
      </w:r>
    </w:p>
    <w:p>
      <w:pPr>
        <w:spacing w:after="80"/>
      </w:pPr>
      <w:r>
        <w:t xml:space="preserve">Опасно</w:t>
      </w:r>
    </w:p>
    <w:p>
      <w:pPr>
        <w:spacing w:after="60" w:before="120"/>
      </w:pPr>
      <w:r>
        <w:rPr>
          <w:b/>
          <w:bCs/>
        </w:rPr>
        <w:t xml:space="preserve">Компоненты, определяющие опасность маркировки</w:t>
      </w:r>
    </w:p>
    <w:p>
      <w:pPr>
        <w:spacing w:after="80"/>
      </w:pPr>
      <w:r>
        <w:t xml:space="preserve">Дифенилметандиизоцианат, изомеры и гомологи</w:t>
      </w:r>
    </w:p>
    <w:p>
      <w:pPr>
        <w:spacing w:after="60" w:before="120"/>
      </w:pPr>
      <w:r>
        <w:rPr>
          <w:b/>
          <w:bCs/>
        </w:rPr>
        <w:t xml:space="preserve">Указания на опасность</w:t>
      </w:r>
    </w:p>
    <w:p>
      <w:pPr>
        <w:spacing w:after="80"/>
      </w:pPr>
      <w:r>
        <w:t xml:space="preserve">H332 Вредно при вдыхании.</w:t>
      </w:r>
    </w:p>
    <w:p>
      <w:pPr>
        <w:spacing w:after="80"/>
      </w:pPr>
      <w:r>
        <w:t xml:space="preserve">H315 Вызывает раздражение кожи.</w:t>
      </w:r>
    </w:p>
    <w:p>
      <w:pPr>
        <w:spacing w:after="80"/>
      </w:pPr>
      <w:r>
        <w:t xml:space="preserve">H319 Вызывает серьёзное раздражение глаз.</w:t>
      </w:r>
    </w:p>
    <w:p>
      <w:pPr>
        <w:spacing w:after="80"/>
      </w:pPr>
      <w:r>
        <w:t xml:space="preserve">H334 Может вызывать аллергию или симптомы астмы либо затруднение дыхания при вдыхании.</w:t>
      </w:r>
    </w:p>
    <w:p>
      <w:pPr>
        <w:spacing w:after="80"/>
      </w:pPr>
      <w:r>
        <w:t xml:space="preserve">H317 Может вызывать аллергическую кожную реакцию.</w:t>
      </w:r>
    </w:p>
    <w:p>
      <w:pPr>
        <w:spacing w:after="80"/>
      </w:pPr>
      <w:r>
        <w:t xml:space="preserve">H351 Предположительно вызывает рак.</w:t>
      </w:r>
    </w:p>
    <w:p>
      <w:pPr>
        <w:spacing w:after="80"/>
      </w:pPr>
      <w:r>
        <w:t xml:space="preserve">H335 Может вызывать раздражение дыхательных путей.</w:t>
      </w:r>
    </w:p>
    <w:p>
      <w:pPr>
        <w:spacing w:after="80"/>
      </w:pPr>
      <w:r>
        <w:t xml:space="preserve">H373 Может вызывать повреждение органов при длительном или многократном воздействии.</w:t>
      </w:r>
    </w:p>
    <w:p>
      <w:pPr>
        <w:spacing w:after="60" w:before="120"/>
      </w:pPr>
      <w:r>
        <w:rPr>
          <w:b/>
          <w:bCs/>
        </w:rPr>
        <w:t xml:space="preserve">Меры предосторожности</w:t>
      </w:r>
    </w:p>
    <w:p>
      <w:pPr>
        <w:spacing w:after="80"/>
      </w:pPr>
      <w:r>
        <w:t xml:space="preserve">P201 Перед использованием получить специальные инструкции.</w:t>
      </w:r>
    </w:p>
    <w:p>
      <w:pPr>
        <w:spacing w:after="80"/>
      </w:pPr>
      <w:r>
        <w:t xml:space="preserve">P280 Использовать защитные перчатки/защитную одежду/защиту глаз/лица.</w:t>
      </w:r>
    </w:p>
    <w:p>
      <w:pPr>
        <w:spacing w:after="80"/>
      </w:pPr>
      <w:r>
        <w:t xml:space="preserve">P302+P352 ПРИ ПОПАДАНИИ НА КОЖУ: промыть большим количеством воды.</w:t>
      </w:r>
    </w:p>
    <w:p>
      <w:pPr>
        <w:spacing w:after="80"/>
      </w:pPr>
      <w:r>
        <w:t xml:space="preserve">P304+P340 ПРИ ВДЫХАНИИ: вывести пострадавшего на свежий воздух и обеспечить покой в удобном для дыхания положении.</w:t>
      </w:r>
    </w:p>
    <w:p>
      <w:pPr>
        <w:spacing w:after="80"/>
      </w:pPr>
      <w:r>
        <w:t xml:space="preserve">P305+P351+P338 ПРИ ПОПАДАНИИ В ГЛАЗА: осторожно промывать водой в течение нескольких минут. Снять контактные линзы, если это легко сделать. Продолжить промывание.</w:t>
      </w:r>
    </w:p>
    <w:p>
      <w:pPr>
        <w:spacing w:after="80"/>
      </w:pPr>
      <w:r>
        <w:t xml:space="preserve">P333+P313 При раздражении кожи или появлении сыпи: обратиться за медицинской консультацией/помощью.</w:t>
      </w:r>
    </w:p>
    <w:p>
      <w:pPr>
        <w:spacing w:after="80"/>
      </w:pPr>
      <w:r>
        <w:t xml:space="preserve">P337+P313 При продолжающемся раздражении глаз: обратиться за медицинской консультацией/помощью.</w:t>
      </w:r>
    </w:p>
    <w:p>
      <w:pPr>
        <w:spacing w:after="80"/>
      </w:pPr>
      <w:r>
        <w:t xml:space="preserve">P342+P311 При появлении симптомов со стороны дыхательной системы: обратиться в токсикологический центр/к врачу.</w:t>
      </w:r>
    </w:p>
    <w:p>
      <w:pPr>
        <w:spacing w:after="60" w:before="120"/>
      </w:pPr>
      <w:r>
        <w:rPr>
          <w:b/>
          <w:bCs/>
        </w:rPr>
        <w:t xml:space="preserve">Дополнительная информация</w:t>
      </w:r>
    </w:p>
    <w:p>
      <w:pPr>
        <w:spacing w:after="80"/>
      </w:pPr>
      <w:r>
        <w:t xml:space="preserve">EUH204 Содержит изоцианаты. Может вызывать аллергическую реакцию.</w:t>
      </w:r>
    </w:p>
    <w:p>
      <w:pPr>
        <w:spacing w:after="80"/>
      </w:pPr>
      <w:r>
        <w:t xml:space="preserve">С 24 августа 2023 года перед промышленным или профессиональным использованием требуется соответствующее обучение.</w:t>
      </w:r>
    </w:p>
    <w:p>
      <w:pPr>
        <w:spacing w:after="60" w:before="120"/>
      </w:pPr>
      <w:r>
        <w:rPr>
          <w:b/>
          <w:bCs/>
        </w:rPr>
        <w:t xml:space="preserve">2.3 Прочие опасности</w:t>
      </w:r>
    </w:p>
    <w:p>
      <w:pPr>
        <w:spacing w:after="60" w:before="120"/>
      </w:pPr>
      <w:r>
        <w:rPr>
          <w:b/>
          <w:bCs/>
        </w:rPr>
        <w:t xml:space="preserve">Результаты оценки на СБТ и оСБсБ</w:t>
      </w:r>
    </w:p>
    <w:p>
      <w:pPr>
        <w:spacing w:after="80"/>
      </w:pPr>
      <w:r>
        <w:t xml:space="preserve">СБТ: не применимо.</w:t>
      </w:r>
    </w:p>
    <w:p>
      <w:pPr>
        <w:spacing w:after="80"/>
      </w:pPr>
      <w:r>
        <w:t xml:space="preserve">оСБсБ: не применимо.</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3: Состав/информация о компонентах</w:t>
            </w:r>
          </w:p>
        </w:tc>
      </w:tr>
    </w:tbl>
    <w:p>
      <w:pPr>
        <w:spacing w:after="80"/>
      </w:pPr>
    </w:p>
    <w:p>
      <w:pPr>
        <w:spacing w:after="60" w:before="120"/>
      </w:pPr>
      <w:r>
        <w:rPr>
          <w:b/>
          <w:bCs/>
        </w:rPr>
        <w:t xml:space="preserve">3.2 Смеси</w:t>
      </w:r>
    </w:p>
    <w:p>
      <w:pPr>
        <w:spacing w:after="80"/>
      </w:pPr>
      <w:r>
        <w:t xml:space="preserve">Описание: однокомпонентный ПУ-клей.</w:t>
      </w:r>
    </w:p>
    <w:p>
      <w:pPr>
        <w:spacing w:after="60" w:before="120"/>
      </w:pPr>
      <w:r>
        <w:rPr>
          <w:b/>
          <w:bCs/>
        </w:rPr>
        <w:t xml:space="preserve">Опасные компоненты</w:t>
      </w:r>
    </w:p>
    <w:tbl>
      <w:tblPr>
        <w:tblW w:type="pct" w:w="100%"/>
        <w:tblBorders>
          <w:top w:val="single" w:color="8EA9DB" w:sz="4"/>
          <w:left w:val="single" w:color="8EA9DB" w:sz="4"/>
          <w:bottom w:val="single" w:color="8EA9DB" w:sz="4"/>
          <w:right w:val="single" w:color="8EA9DB" w:sz="4"/>
          <w:insideH w:val="single" w:color="8EA9DB" w:sz="4"/>
          <w:insideV w:val="single" w:color="8EA9DB" w:sz="4"/>
        </w:tblBorders>
      </w:tblPr>
      <w:tblGrid>
        <w:gridCol w:w="100"/>
        <w:gridCol w:w="100"/>
        <w:gridCol w:w="100"/>
        <w:gridCol w:w="100"/>
      </w:tblGrid>
      <w:tr>
        <w:tc>
          <w:tcPr>
            <w:shd w:fill="D9E2F3"/>
          </w:tcPr>
          <w:p>
            <w:r>
              <w:rPr>
                <w:b/>
                <w:bCs/>
              </w:rPr>
              <w:t xml:space="preserve">CAS</w:t>
            </w:r>
          </w:p>
        </w:tc>
        <w:tc>
          <w:tcPr>
            <w:shd w:fill="D9E2F3"/>
          </w:tcPr>
          <w:p>
            <w:r>
              <w:rPr>
                <w:b/>
                <w:bCs/>
              </w:rPr>
              <w:t xml:space="preserve">Наименование</w:t>
            </w:r>
          </w:p>
        </w:tc>
        <w:tc>
          <w:tcPr>
            <w:shd w:fill="D9E2F3"/>
          </w:tcPr>
          <w:p>
            <w:r>
              <w:rPr>
                <w:b/>
                <w:bCs/>
              </w:rPr>
              <w:t xml:space="preserve">Классификация</w:t>
            </w:r>
          </w:p>
        </w:tc>
        <w:tc>
          <w:tcPr>
            <w:shd w:fill="D9E2F3"/>
          </w:tcPr>
          <w:p>
            <w:r>
              <w:rPr>
                <w:b/>
                <w:bCs/>
              </w:rPr>
              <w:t xml:space="preserve">Концентрация</w:t>
            </w:r>
          </w:p>
        </w:tc>
      </w:tr>
      <w:tr>
        <w:tc>
          <w:p>
            <w:r>
              <w:t xml:space="preserve">9016-87-9</w:t>
            </w:r>
          </w:p>
        </w:tc>
        <w:tc>
          <w:p>
            <w:r>
              <w:t xml:space="preserve">Дифенилметандиизоцианат, изомеры и гомологи</w:t>
            </w:r>
          </w:p>
        </w:tc>
        <w:tc>
          <w:p>
            <w:r>
              <w:t xml:space="preserve">Resp. Sens. 1, H334; Carc. 2, H351; STOT RE 2, H373; Acute Tox. 4, H332; Skin Irrit. 2, H315; Eye Irrit. 2, H319; Skin Sens. 1, H317; STOT SE 3, H335, EUH204
Специфические предельные концентрации: Eye Irrit. 2; H319: C ≥ 5 %; Skin Irrit. 2; H315: C ≥ 5 %; Resp. Sens. 1; H334: C ≥ 0,1 %; STOT SE 3: C ≥ 5 %</w:t>
            </w:r>
          </w:p>
        </w:tc>
        <w:tc>
          <w:p>
            <w:r>
              <w:t xml:space="preserve">75-100%</w:t>
            </w:r>
          </w:p>
        </w:tc>
      </w:tr>
    </w:tbl>
    <w:p>
      <w:pPr>
        <w:spacing w:after="60" w:before="120"/>
      </w:pPr>
      <w:r>
        <w:rPr>
          <w:b/>
          <w:bCs/>
        </w:rPr>
        <w:t xml:space="preserve">Дополнительная информация</w:t>
      </w:r>
    </w:p>
    <w:p>
      <w:pPr>
        <w:spacing w:after="80"/>
      </w:pPr>
      <w:r>
        <w:t xml:space="preserve">Формулировки указанных фраз опасности приведены в разделе 16.</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4: Меры первой помощи</w:t>
            </w:r>
          </w:p>
        </w:tc>
      </w:tr>
    </w:tbl>
    <w:p>
      <w:pPr>
        <w:spacing w:after="80"/>
      </w:pPr>
    </w:p>
    <w:p>
      <w:pPr>
        <w:spacing w:after="60" w:before="120"/>
      </w:pPr>
      <w:r>
        <w:rPr>
          <w:b/>
          <w:bCs/>
        </w:rPr>
        <w:t xml:space="preserve">4.1 Описание мер первой помощи</w:t>
      </w:r>
    </w:p>
    <w:p>
      <w:pPr>
        <w:spacing w:after="60" w:before="120"/>
      </w:pPr>
      <w:r>
        <w:rPr>
          <w:b/>
          <w:bCs/>
        </w:rPr>
        <w:t xml:space="preserve">Общая информация</w:t>
      </w:r>
    </w:p>
    <w:p>
      <w:pPr>
        <w:spacing w:after="80"/>
      </w:pPr>
      <w:r>
        <w:t xml:space="preserve">Немедленно снять любую загрязнённую продуктом одежду. Симптомы отравления могут проявиться даже спустя несколько часов, поэтому необходимо медицинское наблюдение в течение как минимум 48 часов после происшествия.</w:t>
      </w:r>
    </w:p>
    <w:p>
      <w:pPr>
        <w:spacing w:after="60" w:before="120"/>
      </w:pPr>
      <w:r>
        <w:rPr>
          <w:b/>
          <w:bCs/>
        </w:rPr>
        <w:t xml:space="preserve">После вдыхания</w:t>
      </w:r>
    </w:p>
    <w:p>
      <w:pPr>
        <w:spacing w:after="80"/>
      </w:pPr>
      <w:r>
        <w:t xml:space="preserve">Обеспечить приток свежего воздуха; при жалобах обратиться к врачу. В случае потери сознания уложить пострадавшего устойчиво на бок для транспортировки.</w:t>
      </w:r>
    </w:p>
    <w:p>
      <w:pPr>
        <w:spacing w:after="60" w:before="120"/>
      </w:pPr>
      <w:r>
        <w:rPr>
          <w:b/>
          <w:bCs/>
        </w:rPr>
        <w:t xml:space="preserve">После контакта с кожей</w:t>
      </w:r>
    </w:p>
    <w:p>
      <w:pPr>
        <w:spacing w:after="80"/>
      </w:pPr>
      <w:r>
        <w:t xml:space="preserve">Немедленно промыть водой с мылом и тщательно ополоснуть.</w:t>
      </w:r>
    </w:p>
    <w:p>
      <w:pPr>
        <w:spacing w:after="60" w:before="120"/>
      </w:pPr>
      <w:r>
        <w:rPr>
          <w:b/>
          <w:bCs/>
        </w:rPr>
        <w:t xml:space="preserve">После контакта с глазами</w:t>
      </w:r>
    </w:p>
    <w:p>
      <w:pPr>
        <w:spacing w:after="80"/>
      </w:pPr>
      <w:r>
        <w:t xml:space="preserve">Промывать открытый глаз в течение нескольких минут под проточной водой. Затем обратиться к врачу.</w:t>
      </w:r>
    </w:p>
    <w:p>
      <w:pPr>
        <w:spacing w:after="60" w:before="120"/>
      </w:pPr>
      <w:r>
        <w:rPr>
          <w:b/>
          <w:bCs/>
        </w:rPr>
        <w:t xml:space="preserve">После проглатывания</w:t>
      </w:r>
    </w:p>
    <w:p>
      <w:pPr>
        <w:spacing w:after="80"/>
      </w:pPr>
      <w:r>
        <w:t xml:space="preserve">Не вызывать рвоту; немедленно вызвать медицинскую помощь.</w:t>
      </w:r>
    </w:p>
    <w:p>
      <w:pPr>
        <w:spacing w:after="60" w:before="120"/>
      </w:pPr>
      <w:r>
        <w:rPr>
          <w:b/>
          <w:bCs/>
        </w:rPr>
        <w:t xml:space="preserve">4.2 Наиболее важные симптомы и эффекты, острые и отсроченные</w:t>
      </w:r>
    </w:p>
    <w:p>
      <w:pPr>
        <w:spacing w:after="80"/>
      </w:pPr>
      <w:r>
        <w:t xml:space="preserve">Аллергические реакции.</w:t>
      </w:r>
    </w:p>
    <w:p>
      <w:pPr>
        <w:spacing w:after="80"/>
      </w:pPr>
      <w:r>
        <w:t xml:space="preserve">Приступы астмы.</w:t>
      </w:r>
    </w:p>
    <w:p>
      <w:pPr>
        <w:spacing w:after="60" w:before="120"/>
      </w:pPr>
      <w:r>
        <w:rPr>
          <w:b/>
          <w:bCs/>
        </w:rPr>
        <w:t xml:space="preserve">4.3 Указание на необходимость немедленной медицинской помощи и специального лечения</w:t>
      </w:r>
    </w:p>
    <w:p>
      <w:pPr>
        <w:spacing w:after="80"/>
      </w:pPr>
      <w:r>
        <w:t xml:space="preserve">Дополнительная значимая информация отсутствует.</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5: Меры пожаротушения</w:t>
            </w:r>
          </w:p>
        </w:tc>
      </w:tr>
    </w:tbl>
    <w:p>
      <w:pPr>
        <w:spacing w:after="80"/>
      </w:pPr>
    </w:p>
    <w:p>
      <w:pPr>
        <w:spacing w:after="60" w:before="120"/>
      </w:pPr>
      <w:r>
        <w:rPr>
          <w:b/>
          <w:bCs/>
        </w:rPr>
        <w:t xml:space="preserve">5.1 Средства пожаротушения</w:t>
      </w:r>
    </w:p>
    <w:p>
      <w:pPr>
        <w:spacing w:after="60" w:before="120"/>
      </w:pPr>
      <w:r>
        <w:rPr>
          <w:b/>
          <w:bCs/>
        </w:rPr>
        <w:t xml:space="preserve">Подходящие средства пожаротушения</w:t>
      </w:r>
    </w:p>
    <w:p>
      <w:pPr>
        <w:spacing w:after="80"/>
      </w:pPr>
      <w:r>
        <w:t xml:space="preserve">CO₂, порошок или водяное распыление. При крупных пожарах — водяное распыление или спиртостойкая пена.</w:t>
      </w:r>
    </w:p>
    <w:p>
      <w:pPr>
        <w:spacing w:after="60" w:before="120"/>
      </w:pPr>
      <w:r>
        <w:rPr>
          <w:b/>
          <w:bCs/>
        </w:rPr>
        <w:t xml:space="preserve">Средства пожаротушения, непригодные по соображениям безопасности</w:t>
      </w:r>
    </w:p>
    <w:p>
      <w:pPr>
        <w:spacing w:after="80"/>
      </w:pPr>
      <w:r>
        <w:t xml:space="preserve">Вода со сплошной струёй.</w:t>
      </w:r>
    </w:p>
    <w:p>
      <w:pPr>
        <w:spacing w:after="60" w:before="120"/>
      </w:pPr>
      <w:r>
        <w:rPr>
          <w:b/>
          <w:bCs/>
        </w:rPr>
        <w:t xml:space="preserve">5.2 Особые опасности, исходящие от вещества или смеси</w:t>
      </w:r>
    </w:p>
    <w:p>
      <w:pPr>
        <w:spacing w:after="80"/>
      </w:pPr>
      <w:r>
        <w:t xml:space="preserve">Дополнительная значимая информация отсутствует.</w:t>
      </w:r>
    </w:p>
    <w:p>
      <w:pPr>
        <w:spacing w:after="60" w:before="120"/>
      </w:pPr>
      <w:r>
        <w:rPr>
          <w:b/>
          <w:bCs/>
        </w:rPr>
        <w:t xml:space="preserve">5.3 Рекомендации для пожарных</w:t>
      </w:r>
    </w:p>
    <w:p>
      <w:pPr>
        <w:spacing w:after="60" w:before="120"/>
      </w:pPr>
      <w:r>
        <w:rPr>
          <w:b/>
          <w:bCs/>
        </w:rPr>
        <w:t xml:space="preserve">Защитное оборудование</w:t>
      </w:r>
    </w:p>
    <w:p>
      <w:pPr>
        <w:spacing w:after="80"/>
      </w:pPr>
      <w:r>
        <w:t xml:space="preserve">Средство защиты органов дыхания (изолирующее).</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6: Меры при случайном высвобождении</w:t>
            </w:r>
          </w:p>
        </w:tc>
      </w:tr>
    </w:tbl>
    <w:p>
      <w:pPr>
        <w:spacing w:after="80"/>
      </w:pPr>
    </w:p>
    <w:p>
      <w:pPr>
        <w:spacing w:after="60" w:before="120"/>
      </w:pPr>
      <w:r>
        <w:rPr>
          <w:b/>
          <w:bCs/>
        </w:rPr>
        <w:t xml:space="preserve">6.1 Меры личной предосторожности, защитное оборудование и порядок действий в чрезвычайной ситуации</w:t>
      </w:r>
    </w:p>
    <w:p>
      <w:pPr>
        <w:spacing w:after="80"/>
      </w:pPr>
      <w:r>
        <w:t xml:space="preserve">Использовать защитное снаряжение. Не допускать посторонних лиц без защиты. Обеспечить достаточную вентиляцию.</w:t>
      </w:r>
    </w:p>
    <w:p>
      <w:pPr>
        <w:spacing w:after="60" w:before="120"/>
      </w:pPr>
      <w:r>
        <w:rPr>
          <w:b/>
          <w:bCs/>
        </w:rPr>
        <w:t xml:space="preserve">6.2 Меры предосторожности для окружающей среды</w:t>
      </w:r>
    </w:p>
    <w:p>
      <w:pPr>
        <w:spacing w:after="80"/>
      </w:pPr>
      <w:r>
        <w:t xml:space="preserve">Не допускать попадания в канализацию, поверхностные или грунтовые воды.</w:t>
      </w:r>
    </w:p>
    <w:p>
      <w:pPr>
        <w:spacing w:after="60" w:before="120"/>
      </w:pPr>
      <w:r>
        <w:rPr>
          <w:b/>
          <w:bCs/>
        </w:rPr>
        <w:t xml:space="preserve">6.3 Методы и материалы для локализации и очистки</w:t>
      </w:r>
    </w:p>
    <w:p>
      <w:pPr>
        <w:spacing w:after="80"/>
      </w:pPr>
      <w:r>
        <w:t xml:space="preserve">Собрать с помощью жидкосвязывающего материала (песок, диатомит, кислотосвязывающие вещества, универсальные сорбенты, опилки). Утилизировать загрязнённый материал как отход согласно разделу 13.</w:t>
      </w:r>
    </w:p>
    <w:p>
      <w:pPr>
        <w:spacing w:after="60" w:before="120"/>
      </w:pPr>
      <w:r>
        <w:rPr>
          <w:b/>
          <w:bCs/>
        </w:rPr>
        <w:t xml:space="preserve">6.4 Ссылка на другие разделы</w:t>
      </w:r>
    </w:p>
    <w:p>
      <w:pPr>
        <w:spacing w:after="80"/>
      </w:pPr>
      <w:r>
        <w:t xml:space="preserve">См. раздел 7 — сведения о безопасном обращении.</w:t>
      </w:r>
    </w:p>
    <w:p>
      <w:pPr>
        <w:spacing w:after="80"/>
      </w:pPr>
      <w:r>
        <w:t xml:space="preserve">См. раздел 8 — сведения о средствах индивидуальной защиты.</w:t>
      </w:r>
    </w:p>
    <w:p>
      <w:pPr>
        <w:spacing w:after="80"/>
      </w:pPr>
      <w:r>
        <w:t xml:space="preserve">См. раздел 13 — сведения по утилизации.</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7: Обращение и хранение</w:t>
            </w:r>
          </w:p>
        </w:tc>
      </w:tr>
    </w:tbl>
    <w:p>
      <w:pPr>
        <w:spacing w:after="80"/>
      </w:pPr>
    </w:p>
    <w:p>
      <w:pPr>
        <w:spacing w:after="60" w:before="120"/>
      </w:pPr>
      <w:r>
        <w:rPr>
          <w:b/>
          <w:bCs/>
        </w:rPr>
        <w:t xml:space="preserve">7.1 Меры предосторожности для безопасного обращения</w:t>
      </w:r>
    </w:p>
    <w:p>
      <w:pPr>
        <w:spacing w:after="0"/>
      </w:pPr>
      <w:r>
        <w:t xml:space="preserve">● Использовать подходящую защитную одежду, перчатки и защиту глаз/лица.</w:t>
      </w:r>
    </w:p>
    <w:p>
      <w:pPr>
        <w:spacing w:after="0"/>
      </w:pPr>
      <w:r>
        <w:t xml:space="preserve">● Немедленно снимать всю загрязнённую и пропитанную одежду.</w:t>
      </w:r>
    </w:p>
    <w:p>
      <w:pPr>
        <w:spacing w:after="0"/>
      </w:pPr>
      <w:r>
        <w:t xml:space="preserve">● Избегать контакта с глазами и кожей.</w:t>
      </w:r>
    </w:p>
    <w:p>
      <w:pPr>
        <w:spacing w:after="0"/>
      </w:pPr>
      <w:r>
        <w:t xml:space="preserve">● Хранить вдали от пищевых продуктов, напитков и корма для животных.</w:t>
      </w:r>
    </w:p>
    <w:p>
      <w:pPr>
        <w:spacing w:after="0"/>
      </w:pPr>
      <w:r>
        <w:t xml:space="preserve">● Лица с астмой, аллергией, хроническими или рецидивирующими заболеваниями органов дыхания не должны допускаться к работе с данным составом.</w:t>
      </w:r>
    </w:p>
    <w:p>
      <w:pPr>
        <w:spacing w:after="0"/>
      </w:pPr>
      <w:r>
        <w:t xml:space="preserve">● Мыть руки перед перерывами и по окончании работы.</w:t>
      </w:r>
    </w:p>
    <w:p>
      <w:pPr>
        <w:spacing w:after="60" w:before="120"/>
      </w:pPr>
      <w:r>
        <w:rPr>
          <w:b/>
          <w:bCs/>
        </w:rPr>
        <w:t xml:space="preserve">Информация по пожаро- и взрывобезопасности</w:t>
      </w:r>
    </w:p>
    <w:p>
      <w:pPr>
        <w:spacing w:after="80"/>
      </w:pPr>
      <w:r>
        <w:t xml:space="preserve">Особых мер не требуется.</w:t>
      </w:r>
    </w:p>
    <w:p>
      <w:pPr>
        <w:spacing w:after="60" w:before="120"/>
      </w:pPr>
      <w:r>
        <w:rPr>
          <w:b/>
          <w:bCs/>
        </w:rPr>
        <w:t xml:space="preserve">7.2 Условия безопасного хранения с учётом несовместимости</w:t>
      </w:r>
    </w:p>
    <w:p>
      <w:pPr>
        <w:spacing w:after="60" w:before="120"/>
      </w:pPr>
      <w:r>
        <w:rPr>
          <w:b/>
          <w:bCs/>
        </w:rPr>
        <w:t xml:space="preserve">Требования к складским помещениям и ёмкостям</w:t>
      </w:r>
    </w:p>
    <w:p>
      <w:pPr>
        <w:spacing w:after="80"/>
      </w:pPr>
      <w:r>
        <w:t xml:space="preserve">Особых требований нет.</w:t>
      </w:r>
    </w:p>
    <w:p>
      <w:pPr>
        <w:spacing w:after="60" w:before="120"/>
      </w:pPr>
      <w:r>
        <w:rPr>
          <w:b/>
          <w:bCs/>
        </w:rPr>
        <w:t xml:space="preserve">Информация о совместном хранении</w:t>
      </w:r>
    </w:p>
    <w:p>
      <w:pPr>
        <w:spacing w:after="80"/>
      </w:pPr>
      <w:r>
        <w:t xml:space="preserve">Не требуется.</w:t>
      </w:r>
    </w:p>
    <w:p>
      <w:pPr>
        <w:spacing w:after="60" w:before="120"/>
      </w:pPr>
      <w:r>
        <w:rPr>
          <w:b/>
          <w:bCs/>
        </w:rPr>
        <w:t xml:space="preserve">Дополнительная информация об условиях хранения</w:t>
      </w:r>
    </w:p>
    <w:p>
      <w:pPr>
        <w:spacing w:after="80"/>
      </w:pPr>
      <w:r>
        <w:t xml:space="preserve">Держать ёмкость плотно закрытой. Беречь от влаги и воды. Открытую неиспользованную часть продукта хранить в герметичной упаковке.</w:t>
      </w:r>
    </w:p>
    <w:p>
      <w:pPr>
        <w:spacing w:after="60" w:before="120"/>
      </w:pPr>
      <w:r>
        <w:rPr>
          <w:b/>
          <w:bCs/>
        </w:rPr>
        <w:t xml:space="preserve">7.3 Особые конечные применения</w:t>
      </w:r>
    </w:p>
    <w:p>
      <w:pPr>
        <w:spacing w:after="80"/>
      </w:pPr>
      <w:r>
        <w:t xml:space="preserve">Дополнительная значимая информация отсутствует.</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8: Контроль воздействия/средства индивидуальной защиты</w:t>
            </w:r>
          </w:p>
        </w:tc>
      </w:tr>
    </w:tbl>
    <w:p>
      <w:pPr>
        <w:spacing w:after="80"/>
      </w:pPr>
    </w:p>
    <w:p>
      <w:pPr>
        <w:spacing w:after="60" w:before="120"/>
      </w:pPr>
      <w:r>
        <w:rPr>
          <w:b/>
          <w:bCs/>
        </w:rPr>
        <w:t xml:space="preserve">8.1 Параметры контроля</w:t>
      </w:r>
    </w:p>
    <w:p>
      <w:pPr>
        <w:spacing w:after="60" w:before="120"/>
      </w:pPr>
      <w:r>
        <w:rPr>
          <w:b/>
          <w:bCs/>
        </w:rPr>
        <w:t xml:space="preserve">Компоненты с предельными значениями, подлежащими контролю на рабочем месте</w:t>
      </w:r>
    </w:p>
    <w:tbl>
      <w:tblPr>
        <w:tblW w:type="pct" w:w="100%"/>
        <w:tblBorders>
          <w:top w:val="single" w:color="8EA9DB" w:sz="4"/>
          <w:left w:val="single" w:color="8EA9DB" w:sz="4"/>
          <w:bottom w:val="single" w:color="8EA9DB" w:sz="4"/>
          <w:right w:val="single" w:color="8EA9DB" w:sz="4"/>
          <w:insideH w:val="single" w:color="8EA9DB" w:sz="4"/>
          <w:insideV w:val="single" w:color="8EA9DB" w:sz="4"/>
        </w:tblBorders>
      </w:tblPr>
      <w:tblGrid>
        <w:gridCol w:w="100"/>
        <w:gridCol w:w="100"/>
        <w:gridCol w:w="100"/>
      </w:tblGrid>
      <w:tr>
        <w:tc>
          <w:tcPr>
            <w:shd w:fill="D9E2F3"/>
          </w:tcPr>
          <w:p>
            <w:r>
              <w:rPr>
                <w:b/>
                <w:bCs/>
              </w:rPr>
              <w:t xml:space="preserve">CAS</w:t>
            </w:r>
          </w:p>
        </w:tc>
        <w:tc>
          <w:tcPr>
            <w:shd w:fill="D9E2F3"/>
          </w:tcPr>
          <w:p>
            <w:r>
              <w:rPr>
                <w:b/>
                <w:bCs/>
              </w:rPr>
              <w:t xml:space="preserve">Наименование</w:t>
            </w:r>
          </w:p>
        </w:tc>
        <w:tc>
          <w:tcPr>
            <w:shd w:fill="D9E2F3"/>
          </w:tcPr>
          <w:p>
            <w:r>
              <w:rPr>
                <w:b/>
                <w:bCs/>
              </w:rPr>
              <w:t xml:space="preserve">WEL</w:t>
            </w:r>
          </w:p>
        </w:tc>
      </w:tr>
      <w:tr>
        <w:tc>
          <w:p>
            <w:r>
              <w:t xml:space="preserve">9016-87-9</w:t>
            </w:r>
          </w:p>
        </w:tc>
        <w:tc>
          <w:p>
            <w:r>
              <w:t xml:space="preserve">Дифенилметандиизоцианат, изомеры и гомологи</w:t>
            </w:r>
          </w:p>
        </w:tc>
        <w:tc>
          <w:p>
            <w:r>
              <w:t xml:space="preserve">Кратковременное значение: 0,07 мг/м³
Долговременное значение: 0,02 мг/м³
Sen; как -NCO</w:t>
            </w:r>
          </w:p>
        </w:tc>
      </w:tr>
    </w:tbl>
    <w:p>
      <w:pPr>
        <w:spacing w:after="60" w:before="120"/>
      </w:pPr>
      <w:r>
        <w:rPr>
          <w:b/>
          <w:bCs/>
        </w:rPr>
        <w:t xml:space="preserve">8.2 Контроль воздействия</w:t>
      </w:r>
    </w:p>
    <w:p>
      <w:pPr>
        <w:spacing w:after="60" w:before="120"/>
      </w:pPr>
      <w:r>
        <w:rPr>
          <w:b/>
          <w:bCs/>
        </w:rPr>
        <w:t xml:space="preserve">Соответствующие технические меры контроля</w:t>
      </w:r>
    </w:p>
    <w:p>
      <w:pPr>
        <w:spacing w:after="80"/>
      </w:pPr>
      <w:r>
        <w:t xml:space="preserve">Дополнительных данных нет; см. раздел 7.</w:t>
      </w:r>
    </w:p>
    <w:p>
      <w:pPr>
        <w:spacing w:after="60" w:before="120"/>
      </w:pPr>
      <w:r>
        <w:rPr>
          <w:b/>
          <w:bCs/>
        </w:rPr>
        <w:t xml:space="preserve">Индивидуальные меры защиты, включая средства индивидуальной защиты</w:t>
      </w:r>
    </w:p>
    <w:p>
      <w:pPr>
        <w:spacing w:after="60" w:before="120"/>
      </w:pPr>
      <w:r>
        <w:rPr>
          <w:b/>
          <w:bCs/>
        </w:rPr>
        <w:t xml:space="preserve">Общие защитные и гигиенические меры</w:t>
      </w:r>
    </w:p>
    <w:p>
      <w:pPr>
        <w:spacing w:after="0"/>
      </w:pPr>
      <w:r>
        <w:t xml:space="preserve">● Немедленно снимать всю загрязнённую и пропитанную одежду.</w:t>
      </w:r>
    </w:p>
    <w:p>
      <w:pPr>
        <w:spacing w:after="0"/>
      </w:pPr>
      <w:r>
        <w:t xml:space="preserve">● Избегать контакта с глазами и кожей.</w:t>
      </w:r>
    </w:p>
    <w:p>
      <w:pPr>
        <w:spacing w:after="0"/>
      </w:pPr>
      <w:r>
        <w:t xml:space="preserve">● Использовать подходящую защитную одежду, перчатки и защиту глаз/лица.</w:t>
      </w:r>
    </w:p>
    <w:p>
      <w:pPr>
        <w:spacing w:after="0"/>
      </w:pPr>
      <w:r>
        <w:t xml:space="preserve">● Хранить вдали от пищевых продуктов, напитков и корма для животных.</w:t>
      </w:r>
    </w:p>
    <w:p>
      <w:pPr>
        <w:spacing w:after="0"/>
      </w:pPr>
      <w:r>
        <w:t xml:space="preserve">● Лица с астмой, аллергией, хроническими или рецидивирующими заболеваниями органов дыхания не должны допускаться к работе с данным составом.</w:t>
      </w:r>
    </w:p>
    <w:p>
      <w:pPr>
        <w:spacing w:after="0"/>
      </w:pPr>
      <w:r>
        <w:t xml:space="preserve">● Мыть руки перед перерывами и по окончании работы.</w:t>
      </w:r>
    </w:p>
    <w:p>
      <w:pPr>
        <w:spacing w:after="60" w:before="120"/>
      </w:pPr>
      <w:r>
        <w:rPr>
          <w:b/>
          <w:bCs/>
        </w:rPr>
        <w:t xml:space="preserve">Защита органов дыхания</w:t>
      </w:r>
    </w:p>
    <w:p>
      <w:pPr>
        <w:spacing w:after="80"/>
      </w:pPr>
      <w:r>
        <w:t xml:space="preserve">Не требуется. Обеспечить хорошую вентиляцию помещения во время работы. В недостаточно вентилируемых зонах требуется защита органов дыхания. Рекомендуется маска с принудительной подачей воздуха или, для кратковременных работ, комбинированный угольный и аэрозольный фильтр (A2-P2).</w:t>
      </w:r>
    </w:p>
    <w:p>
      <w:pPr>
        <w:spacing w:after="60" w:before="120"/>
      </w:pPr>
      <w:r>
        <w:rPr>
          <w:b/>
          <w:bCs/>
        </w:rPr>
        <w:t xml:space="preserve">Защита рук</w:t>
      </w:r>
    </w:p>
    <w:p>
      <w:pPr>
        <w:spacing w:after="80"/>
      </w:pPr>
      <w:r>
        <w:t xml:space="preserve">Использовать перчатки из стабильного материала (например, нитрил), при необходимости с трикотажной подкладкой для улучшения носкости (EN 374).</w:t>
      </w:r>
    </w:p>
    <w:p>
      <w:pPr>
        <w:spacing w:after="60" w:before="120"/>
      </w:pPr>
      <w:r>
        <w:rPr>
          <w:b/>
          <w:bCs/>
        </w:rPr>
        <w:t xml:space="preserve">Материал перчаток</w:t>
      </w:r>
    </w:p>
    <w:p>
      <w:pPr>
        <w:spacing w:after="80"/>
      </w:pPr>
      <w:r>
        <w:t xml:space="preserve">Бутилкаучук (BR), нитрильный каучук (NBR). Рекомендуемая толщина материала: ≥ 0,5 мм.</w:t>
      </w:r>
    </w:p>
    <w:p>
      <w:pPr>
        <w:spacing w:after="60" w:before="120"/>
      </w:pPr>
      <w:r>
        <w:rPr>
          <w:b/>
          <w:bCs/>
        </w:rPr>
        <w:t xml:space="preserve">Время проникновения материала перчаток</w:t>
      </w:r>
    </w:p>
    <w:p>
      <w:pPr>
        <w:spacing w:after="80"/>
      </w:pPr>
      <w:r>
        <w:t xml:space="preserve">Точное время прорыва должно быть установлено производителем защитных перчаток и соблюдаться.</w:t>
      </w:r>
    </w:p>
    <w:p>
      <w:pPr>
        <w:spacing w:after="60" w:before="120"/>
      </w:pPr>
      <w:r>
        <w:rPr>
          <w:b/>
          <w:bCs/>
        </w:rPr>
        <w:t xml:space="preserve">Защита глаз/лица</w:t>
      </w:r>
    </w:p>
    <w:p>
      <w:pPr>
        <w:spacing w:after="80"/>
      </w:pPr>
      <w:r>
        <w:t xml:space="preserve">Плотно прилегающие защитные очки или щиток для лица (EN 166).</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9: Физические и химические свойства</w:t>
            </w:r>
          </w:p>
        </w:tc>
      </w:tr>
    </w:tbl>
    <w:p>
      <w:pPr>
        <w:spacing w:after="80"/>
      </w:pPr>
    </w:p>
    <w:p>
      <w:pPr>
        <w:spacing w:after="60" w:before="120"/>
      </w:pPr>
      <w:r>
        <w:rPr>
          <w:b/>
          <w:bCs/>
        </w:rPr>
        <w:t xml:space="preserve">9.1 Сведения об основных физических и химических свойствах</w:t>
      </w:r>
    </w:p>
    <w:p>
      <w:pPr>
        <w:spacing w:after="80"/>
      </w:pPr>
      <w:r>
        <w:t xml:space="preserve">Агрегатное состояние: жидкое (текучее)</w:t>
      </w:r>
    </w:p>
    <w:p>
      <w:pPr>
        <w:spacing w:after="80"/>
      </w:pPr>
      <w:r>
        <w:t xml:space="preserve">Цвет: коричневый</w:t>
      </w:r>
    </w:p>
    <w:p>
      <w:pPr>
        <w:spacing w:after="80"/>
      </w:pPr>
      <w:r>
        <w:t xml:space="preserve">Запах: слабый</w:t>
      </w:r>
    </w:p>
    <w:p>
      <w:pPr>
        <w:spacing w:after="80"/>
      </w:pPr>
      <w:r>
        <w:t xml:space="preserve">Порог восприятия запаха: не определён.</w:t>
      </w:r>
    </w:p>
    <w:p>
      <w:pPr>
        <w:spacing w:after="80"/>
      </w:pPr>
      <w:r>
        <w:t xml:space="preserve">Точка плавления/замерзания: не определена.</w:t>
      </w:r>
    </w:p>
    <w:p>
      <w:pPr>
        <w:spacing w:after="80"/>
      </w:pPr>
      <w:r>
        <w:t xml:space="preserve">Точка кипения или начальная точка кипения и диапазон кипения: не определены.</w:t>
      </w:r>
    </w:p>
    <w:p>
      <w:pPr>
        <w:spacing w:after="80"/>
      </w:pPr>
      <w:r>
        <w:t xml:space="preserve">Воспламеняемость: не применимо.</w:t>
      </w:r>
    </w:p>
    <w:p>
      <w:pPr>
        <w:spacing w:after="80"/>
      </w:pPr>
      <w:r>
        <w:t xml:space="preserve">Нижний и верхний пределы взрываемости: не определены.</w:t>
      </w:r>
    </w:p>
    <w:p>
      <w:pPr>
        <w:spacing w:after="80"/>
      </w:pPr>
      <w:r>
        <w:t xml:space="preserve">Температура вспышки: &gt;200 °C.</w:t>
      </w:r>
    </w:p>
    <w:p>
      <w:pPr>
        <w:spacing w:after="80"/>
      </w:pPr>
      <w:r>
        <w:t xml:space="preserve">Температура самовоспламенения: продукт не является самовоспламеняющимся.</w:t>
      </w:r>
    </w:p>
    <w:p>
      <w:pPr>
        <w:spacing w:after="80"/>
      </w:pPr>
      <w:r>
        <w:t xml:space="preserve">Температура разложения: не определена.</w:t>
      </w:r>
    </w:p>
    <w:p>
      <w:pPr>
        <w:spacing w:after="80"/>
      </w:pPr>
      <w:r>
        <w:t xml:space="preserve">pH: не определён.</w:t>
      </w:r>
    </w:p>
    <w:p>
      <w:pPr>
        <w:spacing w:after="80"/>
      </w:pPr>
      <w:r>
        <w:t xml:space="preserve">Кинематическая вязкость: не определена.</w:t>
      </w:r>
    </w:p>
    <w:p>
      <w:pPr>
        <w:spacing w:after="80"/>
      </w:pPr>
      <w:r>
        <w:t xml:space="preserve">Динамическая вязкость при 20 °C: 7000 мПа·с.</w:t>
      </w:r>
    </w:p>
    <w:p>
      <w:pPr>
        <w:spacing w:after="60" w:before="120"/>
      </w:pPr>
      <w:r>
        <w:rPr>
          <w:b/>
          <w:bCs/>
        </w:rPr>
        <w:t xml:space="preserve">Растворимость</w:t>
      </w:r>
    </w:p>
    <w:p>
      <w:pPr>
        <w:spacing w:after="80"/>
      </w:pPr>
      <w:r>
        <w:t xml:space="preserve">Вода: не смешивается или трудно смешивается.</w:t>
      </w:r>
    </w:p>
    <w:p>
      <w:pPr>
        <w:spacing w:after="80"/>
      </w:pPr>
      <w:r>
        <w:t xml:space="preserve">Коэффициент распределения н-октанол/вода (log-значение): не определён.</w:t>
      </w:r>
    </w:p>
    <w:p>
      <w:pPr>
        <w:spacing w:after="80"/>
      </w:pPr>
      <w:r>
        <w:t xml:space="preserve">Давление паров при 20 °C: &lt;0,0001 гПа.</w:t>
      </w:r>
    </w:p>
    <w:p>
      <w:pPr>
        <w:spacing w:after="80"/>
      </w:pPr>
      <w:r>
        <w:t xml:space="preserve">Плотность при 20 °C: 1,1 г/см³. Относительная плотность: не определена. Плотность паров: не определена.</w:t>
      </w:r>
    </w:p>
    <w:p>
      <w:pPr>
        <w:spacing w:after="60" w:before="120"/>
      </w:pPr>
      <w:r>
        <w:rPr>
          <w:b/>
          <w:bCs/>
        </w:rPr>
        <w:t xml:space="preserve">9.2 Прочая информация</w:t>
      </w:r>
    </w:p>
    <w:p>
      <w:pPr>
        <w:spacing w:after="80"/>
      </w:pPr>
      <w:r>
        <w:t xml:space="preserve">Форма: текучая.</w:t>
      </w:r>
    </w:p>
    <w:p>
      <w:pPr>
        <w:spacing w:after="80"/>
      </w:pPr>
      <w:r>
        <w:t xml:space="preserve">Температура воспламенения: 400 °C.</w:t>
      </w:r>
    </w:p>
    <w:p>
      <w:pPr>
        <w:spacing w:after="80"/>
      </w:pPr>
      <w:r>
        <w:t xml:space="preserve">Взрывоопасные свойства: продукт не представляет взрывоопасности.</w:t>
      </w:r>
    </w:p>
    <w:p>
      <w:pPr>
        <w:spacing w:after="80"/>
      </w:pPr>
      <w:r>
        <w:t xml:space="preserve">Скорость испарения: не определена.</w:t>
      </w:r>
    </w:p>
    <w:p>
      <w:pPr>
        <w:spacing w:after="60" w:before="120"/>
      </w:pPr>
      <w:r>
        <w:rPr>
          <w:b/>
          <w:bCs/>
        </w:rPr>
        <w:t xml:space="preserve">Информация в отношении классов физической опасности</w:t>
      </w:r>
    </w:p>
    <w:p>
      <w:pPr>
        <w:spacing w:after="80"/>
      </w:pPr>
      <w:r>
        <w:t xml:space="preserve">Взрывчатые вещества — Void; горючие газы — Void; аэрозоли — Void; окисляющие газы — Void; газы под давлением — Void; легковоспламеняющиеся жидкости — Void; легковоспламеняющиеся твёрдые вещества — Void; саморазлагающиеся вещества и смеси — Void; пирофорные жидкости — Void; пирофорные твёрдые вещества — Void; самонагревающиеся вещества и смеси — Void; вещества и смеси, выделяющие легковоспламеняющиеся газы при контакте с водой — Void; окисляющие жидкости — Void; окисляющие твёрдые вещества — Void; органические пероксиды — Void; коррозионное воздействие на металлы — Void; десенсибилизированные взрывчатые вещества — Void.</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10: Стабильность и реакционная способность</w:t>
            </w:r>
          </w:p>
        </w:tc>
      </w:tr>
    </w:tbl>
    <w:p>
      <w:pPr>
        <w:spacing w:after="80"/>
      </w:pPr>
    </w:p>
    <w:p>
      <w:pPr>
        <w:spacing w:after="60" w:before="120"/>
      </w:pPr>
      <w:r>
        <w:rPr>
          <w:b/>
          <w:bCs/>
        </w:rPr>
        <w:t xml:space="preserve">10.1 Реакционная способность</w:t>
      </w:r>
    </w:p>
    <w:p>
      <w:pPr>
        <w:spacing w:after="80"/>
      </w:pPr>
      <w:r>
        <w:t xml:space="preserve">Дополнительная значимая информация отсутствует.</w:t>
      </w:r>
    </w:p>
    <w:p>
      <w:pPr>
        <w:spacing w:after="60" w:before="120"/>
      </w:pPr>
      <w:r>
        <w:rPr>
          <w:b/>
          <w:bCs/>
        </w:rPr>
        <w:t xml:space="preserve">10.2 Химическая стабильность</w:t>
      </w:r>
    </w:p>
    <w:p>
      <w:pPr>
        <w:spacing w:after="80"/>
      </w:pPr>
      <w:r>
        <w:t xml:space="preserve">Термическое разложение/условия, которых следует избегать: примерно с 260 °C — полимеризация и выделение CO₂.</w:t>
      </w:r>
    </w:p>
    <w:p>
      <w:pPr>
        <w:spacing w:after="60" w:before="120"/>
      </w:pPr>
      <w:r>
        <w:rPr>
          <w:b/>
          <w:bCs/>
        </w:rPr>
        <w:t xml:space="preserve">10.3 Возможность опасных реакций</w:t>
      </w:r>
    </w:p>
    <w:p>
      <w:pPr>
        <w:spacing w:after="80"/>
      </w:pPr>
      <w:r>
        <w:t xml:space="preserve">Может вызывать бурные реакции с основаниями и многочисленными органическими веществами, включая спирты и амины. Продукт медленно реагирует с водой с выделением диоксида углерода. В закрытых ёмкостях повышение давления может привести к деформации, вздутию, а в экстремальных случаях — к разрыву ёмкости.</w:t>
      </w:r>
    </w:p>
    <w:p>
      <w:pPr>
        <w:spacing w:after="60" w:before="120"/>
      </w:pPr>
      <w:r>
        <w:rPr>
          <w:b/>
          <w:bCs/>
        </w:rPr>
        <w:t xml:space="preserve">10.4 Условия, которых следует избегать</w:t>
      </w:r>
    </w:p>
    <w:p>
      <w:pPr>
        <w:spacing w:after="80"/>
      </w:pPr>
      <w:r>
        <w:t xml:space="preserve">Избегать нагрева выше 40 °C и охлаждения ниже 10 °C.</w:t>
      </w:r>
    </w:p>
    <w:p>
      <w:pPr>
        <w:spacing w:after="60" w:before="120"/>
      </w:pPr>
      <w:r>
        <w:rPr>
          <w:b/>
          <w:bCs/>
        </w:rPr>
        <w:t xml:space="preserve">10.5 Несовместимые материалы</w:t>
      </w:r>
    </w:p>
    <w:p>
      <w:pPr>
        <w:spacing w:after="80"/>
      </w:pPr>
      <w:r>
        <w:t xml:space="preserve">Неконтролируемые экзотермические реакции происходят с аминами и спиртами. При хранении избегать загрязнения влагой.</w:t>
      </w:r>
    </w:p>
    <w:p>
      <w:pPr>
        <w:spacing w:after="60" w:before="120"/>
      </w:pPr>
      <w:r>
        <w:rPr>
          <w:b/>
          <w:bCs/>
        </w:rPr>
        <w:t xml:space="preserve">10.6 Опасные продукты разложения</w:t>
      </w:r>
    </w:p>
    <w:p>
      <w:pPr>
        <w:spacing w:after="80"/>
      </w:pPr>
      <w:r>
        <w:t xml:space="preserve">При пожаре могут образовываться опасные продукты разложения, такие как дым, оксид углерода, диоксид углерода, оксиды азота, синильная кислота, мономерные изоцианаты, амины и спирты.</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11: Токсикологическая информация</w:t>
            </w:r>
          </w:p>
        </w:tc>
      </w:tr>
    </w:tbl>
    <w:p>
      <w:pPr>
        <w:spacing w:after="80"/>
      </w:pPr>
    </w:p>
    <w:p>
      <w:pPr>
        <w:spacing w:after="60" w:before="120"/>
      </w:pPr>
      <w:r>
        <w:rPr>
          <w:b/>
          <w:bCs/>
        </w:rPr>
        <w:t xml:space="preserve">11.1 Сведения о классах опасности согласно Регламенту (ЕС) № 1272/2008</w:t>
      </w:r>
    </w:p>
    <w:p>
      <w:pPr>
        <w:spacing w:after="60" w:before="120"/>
      </w:pPr>
      <w:r>
        <w:rPr>
          <w:b/>
          <w:bCs/>
        </w:rPr>
        <w:t xml:space="preserve">Острая токсичность</w:t>
      </w:r>
    </w:p>
    <w:p>
      <w:pPr>
        <w:spacing w:after="80"/>
      </w:pPr>
      <w:r>
        <w:t xml:space="preserve">Вредно при вдыхании.</w:t>
      </w:r>
    </w:p>
    <w:p>
      <w:pPr>
        <w:spacing w:after="60" w:before="120"/>
      </w:pPr>
      <w:r>
        <w:rPr>
          <w:b/>
          <w:bCs/>
        </w:rPr>
        <w:t xml:space="preserve">Значения LD/LC50, значимые для классификации</w:t>
      </w:r>
    </w:p>
    <w:p>
      <w:pPr>
        <w:spacing w:after="80"/>
      </w:pPr>
      <w:r>
        <w:t xml:space="preserve">Дифенилметандиизоцианат, изомеры и гомологи (CAS 9016-87-9): дермальный LD50 &gt;9000 мг/кг (крыса, OECD 404); ингаляционный LC50/4ч 0,49 мг/л (крыса, OECD 403).</w:t>
      </w:r>
    </w:p>
    <w:p>
      <w:pPr>
        <w:spacing w:after="60" w:before="120"/>
      </w:pPr>
      <w:r>
        <w:rPr>
          <w:b/>
          <w:bCs/>
        </w:rPr>
        <w:t xml:space="preserve">Разъедание/раздражение кожи</w:t>
      </w:r>
    </w:p>
    <w:p>
      <w:pPr>
        <w:spacing w:after="80"/>
      </w:pPr>
      <w:r>
        <w:t xml:space="preserve">Вызывает раздражение кожи.</w:t>
      </w:r>
    </w:p>
    <w:p>
      <w:pPr>
        <w:spacing w:after="60" w:before="120"/>
      </w:pPr>
      <w:r>
        <w:rPr>
          <w:b/>
          <w:bCs/>
        </w:rPr>
        <w:t xml:space="preserve">Серьёзное повреждение/раздражение глаз</w:t>
      </w:r>
    </w:p>
    <w:p>
      <w:pPr>
        <w:spacing w:after="80"/>
      </w:pPr>
      <w:r>
        <w:t xml:space="preserve">Вызывает серьёзное раздражение глаз.</w:t>
      </w:r>
    </w:p>
    <w:p>
      <w:pPr>
        <w:spacing w:after="60" w:before="120"/>
      </w:pPr>
      <w:r>
        <w:rPr>
          <w:b/>
          <w:bCs/>
        </w:rPr>
        <w:t xml:space="preserve">Сенсибилизация дыхательных путей или кожи</w:t>
      </w:r>
    </w:p>
    <w:p>
      <w:pPr>
        <w:spacing w:after="80"/>
      </w:pPr>
      <w:r>
        <w:t xml:space="preserve">Может вызывать аллергию или симптомы астмы либо затруднение дыхания при вдыхании. Может вызывать аллергическую кожную реакцию.</w:t>
      </w:r>
    </w:p>
    <w:p>
      <w:pPr>
        <w:spacing w:after="60" w:before="120"/>
      </w:pPr>
      <w:r>
        <w:rPr>
          <w:b/>
          <w:bCs/>
        </w:rPr>
        <w:t xml:space="preserve">Мутагенность зародышевых клеток</w:t>
      </w:r>
    </w:p>
    <w:p>
      <w:pPr>
        <w:spacing w:after="80"/>
      </w:pPr>
      <w:r>
        <w:t xml:space="preserve">По имеющимся данным критерии классификации не выполняются.</w:t>
      </w:r>
    </w:p>
    <w:p>
      <w:pPr>
        <w:spacing w:after="60" w:before="120"/>
      </w:pPr>
      <w:r>
        <w:rPr>
          <w:b/>
          <w:bCs/>
        </w:rPr>
        <w:t xml:space="preserve">Канцерогенность</w:t>
      </w:r>
    </w:p>
    <w:p>
      <w:pPr>
        <w:spacing w:after="80"/>
      </w:pPr>
      <w:r>
        <w:t xml:space="preserve">Предположительно вызывает рак.</w:t>
      </w:r>
    </w:p>
    <w:p>
      <w:pPr>
        <w:spacing w:after="60" w:before="120"/>
      </w:pPr>
      <w:r>
        <w:rPr>
          <w:b/>
          <w:bCs/>
        </w:rPr>
        <w:t xml:space="preserve">Репродуктивная токсичность</w:t>
      </w:r>
    </w:p>
    <w:p>
      <w:pPr>
        <w:spacing w:after="80"/>
      </w:pPr>
      <w:r>
        <w:t xml:space="preserve">По имеющимся данным критерии классификации не выполняются.</w:t>
      </w:r>
    </w:p>
    <w:p>
      <w:pPr>
        <w:spacing w:after="60" w:before="120"/>
      </w:pPr>
      <w:r>
        <w:rPr>
          <w:b/>
          <w:bCs/>
        </w:rPr>
        <w:t xml:space="preserve">Специфическая токсичность на органы-мишени (однократное воздействие)</w:t>
      </w:r>
    </w:p>
    <w:p>
      <w:pPr>
        <w:spacing w:after="80"/>
      </w:pPr>
      <w:r>
        <w:t xml:space="preserve">Может вызывать раздражение дыхательных путей.</w:t>
      </w:r>
    </w:p>
    <w:p>
      <w:pPr>
        <w:spacing w:after="60" w:before="120"/>
      </w:pPr>
      <w:r>
        <w:rPr>
          <w:b/>
          <w:bCs/>
        </w:rPr>
        <w:t xml:space="preserve">Специфическая токсичность на органы-мишени (повторное воздействие)</w:t>
      </w:r>
    </w:p>
    <w:p>
      <w:pPr>
        <w:spacing w:after="80"/>
      </w:pPr>
      <w:r>
        <w:t xml:space="preserve">Может вызывать повреждение органов при длительном или многократном воздействии.</w:t>
      </w:r>
    </w:p>
    <w:p>
      <w:pPr>
        <w:spacing w:after="60" w:before="120"/>
      </w:pPr>
      <w:r>
        <w:rPr>
          <w:b/>
          <w:bCs/>
        </w:rPr>
        <w:t xml:space="preserve">Опасность при аспирации</w:t>
      </w:r>
    </w:p>
    <w:p>
      <w:pPr>
        <w:spacing w:after="80"/>
      </w:pPr>
      <w:r>
        <w:t xml:space="preserve">По имеющимся данным критерии классификации не выполняются.</w:t>
      </w:r>
    </w:p>
    <w:p>
      <w:pPr>
        <w:spacing w:after="60" w:before="120"/>
      </w:pPr>
      <w:r>
        <w:rPr>
          <w:b/>
          <w:bCs/>
        </w:rPr>
        <w:t xml:space="preserve">Дополнительная токсикологическая информация</w:t>
      </w:r>
    </w:p>
    <w:p>
      <w:pPr>
        <w:spacing w:after="80"/>
      </w:pPr>
      <w:r>
        <w:t xml:space="preserve">С учётом свойств изоцианатных компонентов и токсикологических данных по аналогичным составам, данный состав может вызывать острое раздражение и/или сенсибилизацию дыхательной системы, приводящую к астматическому состоянию, хрипам и стеснению в груди. У сенсибилизированных лиц впоследствии могут проявляться астматические симптомы при воздействии концентраций значительно ниже предельно допустимых. Повторное воздействие может привести к стойкой дыхательной недостаточности.</w:t>
      </w:r>
    </w:p>
    <w:p>
      <w:pPr>
        <w:spacing w:after="60" w:before="120"/>
      </w:pPr>
      <w:r>
        <w:rPr>
          <w:b/>
          <w:bCs/>
        </w:rPr>
        <w:t xml:space="preserve">Эффекты CMR (канцерогенность, мутагенность и токсичность для репродукции)</w:t>
      </w:r>
    </w:p>
    <w:p>
      <w:pPr>
        <w:spacing w:after="80"/>
      </w:pPr>
      <w:r>
        <w:t xml:space="preserve">Дифенилметандиизоцианат, изомеры и гомологи. Канцерогенность: может вызывать рак при вдыхании; на основании этих данных требуется классификация как канцерогенного вещества (H351). Мутагенность: испытания in vitro и in vivo не выявили мутагенного действия. Тератогенность: тератогенного действия в экспериментах на животных не выявлено. Репродуктивная токсичность/фертильность: по имеющимся данным критерии классификации не выполняются.</w:t>
      </w:r>
    </w:p>
    <w:p>
      <w:pPr>
        <w:spacing w:after="60" w:before="120"/>
      </w:pPr>
      <w:r>
        <w:rPr>
          <w:b/>
          <w:bCs/>
        </w:rPr>
        <w:t xml:space="preserve">11.2 Информация о прочих опасностях</w:t>
      </w:r>
    </w:p>
    <w:p>
      <w:pPr>
        <w:spacing w:after="60" w:before="120"/>
      </w:pPr>
      <w:r>
        <w:rPr>
          <w:b/>
          <w:bCs/>
        </w:rPr>
        <w:t xml:space="preserve">Свойства эндокринных разрушителей</w:t>
      </w:r>
    </w:p>
    <w:p>
      <w:pPr>
        <w:spacing w:after="80"/>
      </w:pPr>
      <w:r>
        <w:t xml:space="preserve">Ни один из компонентов не включён в соответствующие перечни.</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12: Экологическая информация</w:t>
            </w:r>
          </w:p>
        </w:tc>
      </w:tr>
    </w:tbl>
    <w:p>
      <w:pPr>
        <w:spacing w:after="80"/>
      </w:pPr>
    </w:p>
    <w:p>
      <w:pPr>
        <w:spacing w:after="60" w:before="120"/>
      </w:pPr>
      <w:r>
        <w:rPr>
          <w:b/>
          <w:bCs/>
        </w:rPr>
        <w:t xml:space="preserve">12.1 Токсичность</w:t>
      </w:r>
    </w:p>
    <w:p>
      <w:pPr>
        <w:spacing w:after="60" w:before="120"/>
      </w:pPr>
      <w:r>
        <w:rPr>
          <w:b/>
          <w:bCs/>
        </w:rPr>
        <w:t xml:space="preserve">Токсичность для водных организмов</w:t>
      </w:r>
    </w:p>
    <w:p>
      <w:pPr>
        <w:spacing w:after="80"/>
      </w:pPr>
      <w:r>
        <w:t xml:space="preserve">Дифенилметандиизоцианат, изомеры и гомологи (CAS 9016-87-9): LC50/96ч &gt;1000 мг/л (Danio rerio).</w:t>
      </w:r>
    </w:p>
    <w:p>
      <w:pPr>
        <w:spacing w:after="60" w:before="120"/>
      </w:pPr>
      <w:r>
        <w:rPr>
          <w:b/>
          <w:bCs/>
        </w:rPr>
        <w:t xml:space="preserve">12.2 Стойкость и способность к разложению</w:t>
      </w:r>
    </w:p>
    <w:p>
      <w:pPr>
        <w:spacing w:after="80"/>
      </w:pPr>
      <w:r>
        <w:t xml:space="preserve">Дополнительная значимая информация отсутствует.</w:t>
      </w:r>
    </w:p>
    <w:p>
      <w:pPr>
        <w:spacing w:after="60" w:before="120"/>
      </w:pPr>
      <w:r>
        <w:rPr>
          <w:b/>
          <w:bCs/>
        </w:rPr>
        <w:t xml:space="preserve">12.3 Биоаккумулятивный потенциал</w:t>
      </w:r>
    </w:p>
    <w:p>
      <w:pPr>
        <w:spacing w:after="80"/>
      </w:pPr>
      <w:r>
        <w:t xml:space="preserve">Дополнительная значимая информация отсутствует.</w:t>
      </w:r>
    </w:p>
    <w:p>
      <w:pPr>
        <w:spacing w:after="60" w:before="120"/>
      </w:pPr>
      <w:r>
        <w:rPr>
          <w:b/>
          <w:bCs/>
        </w:rPr>
        <w:t xml:space="preserve">12.4 Подвижность в почве</w:t>
      </w:r>
    </w:p>
    <w:p>
      <w:pPr>
        <w:spacing w:after="80"/>
      </w:pPr>
      <w:r>
        <w:t xml:space="preserve">Дополнительная значимая информация отсутствует.</w:t>
      </w:r>
    </w:p>
    <w:p>
      <w:pPr>
        <w:spacing w:after="60" w:before="120"/>
      </w:pPr>
      <w:r>
        <w:rPr>
          <w:b/>
          <w:bCs/>
        </w:rPr>
        <w:t xml:space="preserve">12.5 Результаты оценки на СБТ и оСБсБ</w:t>
      </w:r>
    </w:p>
    <w:p>
      <w:pPr>
        <w:spacing w:after="80"/>
      </w:pPr>
      <w:r>
        <w:t xml:space="preserve">СБТ: не применимо.</w:t>
      </w:r>
    </w:p>
    <w:p>
      <w:pPr>
        <w:spacing w:after="80"/>
      </w:pPr>
      <w:r>
        <w:t xml:space="preserve">оСБсБ: не применимо.</w:t>
      </w:r>
    </w:p>
    <w:p>
      <w:pPr>
        <w:spacing w:after="60" w:before="120"/>
      </w:pPr>
      <w:r>
        <w:rPr>
          <w:b/>
          <w:bCs/>
        </w:rPr>
        <w:t xml:space="preserve">12.6 Свойства эндокринных разрушителей</w:t>
      </w:r>
    </w:p>
    <w:p>
      <w:pPr>
        <w:spacing w:after="80"/>
      </w:pPr>
      <w:r>
        <w:t xml:space="preserve">Продукт не содержит веществ со свойствами эндокринных разрушителей.</w:t>
      </w:r>
    </w:p>
    <w:p>
      <w:pPr>
        <w:spacing w:after="60" w:before="120"/>
      </w:pPr>
      <w:r>
        <w:rPr>
          <w:b/>
          <w:bCs/>
        </w:rPr>
        <w:t xml:space="preserve">12.7 Прочие неблагоприятные эффекты</w:t>
      </w:r>
    </w:p>
    <w:p>
      <w:pPr>
        <w:spacing w:after="60" w:before="120"/>
      </w:pPr>
      <w:r>
        <w:rPr>
          <w:b/>
          <w:bCs/>
        </w:rPr>
        <w:t xml:space="preserve">Общие указания</w:t>
      </w:r>
    </w:p>
    <w:p>
      <w:pPr>
        <w:spacing w:after="80"/>
      </w:pPr>
      <w:r>
        <w:t xml:space="preserve">Не допускать попадания продукта в грунтовые воды, водоёмы или канализацию.</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13: Рекомендации по утилизации</w:t>
            </w:r>
          </w:p>
        </w:tc>
      </w:tr>
    </w:tbl>
    <w:p>
      <w:pPr>
        <w:spacing w:after="80"/>
      </w:pPr>
    </w:p>
    <w:p>
      <w:pPr>
        <w:spacing w:after="60" w:before="120"/>
      </w:pPr>
      <w:r>
        <w:rPr>
          <w:b/>
          <w:bCs/>
        </w:rPr>
        <w:t xml:space="preserve">13.1 Методы обращения с отходами</w:t>
      </w:r>
    </w:p>
    <w:p>
      <w:pPr>
        <w:spacing w:after="60" w:before="120"/>
      </w:pPr>
      <w:r>
        <w:rPr>
          <w:b/>
          <w:bCs/>
        </w:rPr>
        <w:t xml:space="preserve">Рекомендация</w:t>
      </w:r>
    </w:p>
    <w:p>
      <w:pPr>
        <w:spacing w:after="80"/>
      </w:pPr>
      <w:r>
        <w:t xml:space="preserve">Не допускать попадания продукта в канализацию. Дать остаткам продукта затвердеть в открытой ёмкости, затем утилизировать как строительные отходы. Утилизация должна проводиться в соответствии с местным, региональным или национальным законодательством.</w:t>
      </w:r>
    </w:p>
    <w:p>
      <w:pPr>
        <w:spacing w:after="60" w:before="120"/>
      </w:pPr>
      <w:r>
        <w:rPr>
          <w:b/>
          <w:bCs/>
        </w:rPr>
        <w:t xml:space="preserve">Загрязнённая упаковка</w:t>
      </w:r>
    </w:p>
    <w:p>
      <w:pPr>
        <w:spacing w:after="60" w:before="120"/>
      </w:pPr>
      <w:r>
        <w:rPr>
          <w:b/>
          <w:bCs/>
        </w:rPr>
        <w:t xml:space="preserve">Рекомендация</w:t>
      </w:r>
    </w:p>
    <w:p>
      <w:pPr>
        <w:spacing w:after="80"/>
      </w:pPr>
      <w:r>
        <w:t xml:space="preserve">Тщательно очищать загрязнённую упаковку. После тщательной и надлежащей очистки она может быть переработана.</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14: Транспортная информация</w:t>
            </w:r>
          </w:p>
        </w:tc>
      </w:tr>
    </w:tbl>
    <w:p>
      <w:pPr>
        <w:spacing w:after="80"/>
      </w:pPr>
    </w:p>
    <w:p>
      <w:pPr>
        <w:spacing w:after="60" w:before="120"/>
      </w:pPr>
      <w:r>
        <w:rPr>
          <w:b/>
          <w:bCs/>
        </w:rPr>
        <w:t xml:space="preserve">14.1 Номер ООН или идентификационный номер</w:t>
      </w:r>
    </w:p>
    <w:p>
      <w:pPr>
        <w:spacing w:after="80"/>
      </w:pPr>
      <w:r>
        <w:t xml:space="preserve">ADR, ADN, IMDG, IATA: Void</w:t>
      </w:r>
    </w:p>
    <w:p>
      <w:pPr>
        <w:spacing w:after="60" w:before="120"/>
      </w:pPr>
      <w:r>
        <w:rPr>
          <w:b/>
          <w:bCs/>
        </w:rPr>
        <w:t xml:space="preserve">14.2 Надлежащее отгрузочное наименование ООН</w:t>
      </w:r>
    </w:p>
    <w:p>
      <w:pPr>
        <w:spacing w:after="80"/>
      </w:pPr>
      <w:r>
        <w:t xml:space="preserve">ADR, ADN, IMDG, IATA: Void</w:t>
      </w:r>
    </w:p>
    <w:p>
      <w:pPr>
        <w:spacing w:after="60" w:before="120"/>
      </w:pPr>
      <w:r>
        <w:rPr>
          <w:b/>
          <w:bCs/>
        </w:rPr>
        <w:t xml:space="preserve">14.3 Класс(-ы) опасности при транспортировке</w:t>
      </w:r>
    </w:p>
    <w:p>
      <w:pPr>
        <w:spacing w:after="80"/>
      </w:pPr>
      <w:r>
        <w:t xml:space="preserve">ADR, ADN, IMDG, IATA — класс: Void</w:t>
      </w:r>
    </w:p>
    <w:p>
      <w:pPr>
        <w:spacing w:after="60" w:before="120"/>
      </w:pPr>
      <w:r>
        <w:rPr>
          <w:b/>
          <w:bCs/>
        </w:rPr>
        <w:t xml:space="preserve">14.4 Группа упаковки</w:t>
      </w:r>
    </w:p>
    <w:p>
      <w:pPr>
        <w:spacing w:after="80"/>
      </w:pPr>
      <w:r>
        <w:t xml:space="preserve">ADR, IMDG, IATA: Void</w:t>
      </w:r>
    </w:p>
    <w:p>
      <w:pPr>
        <w:spacing w:after="60" w:before="120"/>
      </w:pPr>
      <w:r>
        <w:rPr>
          <w:b/>
          <w:bCs/>
        </w:rPr>
        <w:t xml:space="preserve">14.5 Опасность для окружающей среды</w:t>
      </w:r>
    </w:p>
    <w:p>
      <w:pPr>
        <w:spacing w:after="80"/>
      </w:pPr>
      <w:r>
        <w:t xml:space="preserve">Загрязнитель морской среды: нет.</w:t>
      </w:r>
    </w:p>
    <w:p>
      <w:pPr>
        <w:spacing w:after="60" w:before="120"/>
      </w:pPr>
      <w:r>
        <w:rPr>
          <w:b/>
          <w:bCs/>
        </w:rPr>
        <w:t xml:space="preserve">14.6 Особые меры предосторожности для пользователя</w:t>
      </w:r>
    </w:p>
    <w:p>
      <w:pPr>
        <w:spacing w:after="80"/>
      </w:pPr>
      <w:r>
        <w:t xml:space="preserve">Не применимо.</w:t>
      </w:r>
    </w:p>
    <w:p>
      <w:pPr>
        <w:spacing w:after="60" w:before="120"/>
      </w:pPr>
      <w:r>
        <w:rPr>
          <w:b/>
          <w:bCs/>
        </w:rPr>
        <w:t xml:space="preserve">14.7 Морская перевозка навалом согласно документам ИМО</w:t>
      </w:r>
    </w:p>
    <w:p>
      <w:pPr>
        <w:spacing w:after="80"/>
      </w:pPr>
      <w:r>
        <w:t xml:space="preserve">Не применимо.</w:t>
      </w:r>
    </w:p>
    <w:p>
      <w:pPr>
        <w:spacing w:after="60" w:before="120"/>
      </w:pPr>
      <w:r>
        <w:rPr>
          <w:b/>
          <w:bCs/>
        </w:rPr>
        <w:t xml:space="preserve">Транспортировка/Дополнительная информация</w:t>
      </w:r>
    </w:p>
    <w:p>
      <w:pPr>
        <w:spacing w:after="80"/>
      </w:pPr>
      <w:r>
        <w:t xml:space="preserve">Не является опасным согласно указанным характеристикам. Избегать нагрева выше 40 °C и охлаждения ниже 10 °C.</w:t>
      </w:r>
    </w:p>
    <w:p>
      <w:pPr>
        <w:spacing w:after="60" w:before="120"/>
      </w:pPr>
      <w:r>
        <w:rPr>
          <w:b/>
          <w:bCs/>
        </w:rPr>
        <w:t xml:space="preserve">Типовые правила ООН</w:t>
      </w:r>
    </w:p>
    <w:p>
      <w:pPr>
        <w:spacing w:after="80"/>
      </w:pPr>
      <w:r>
        <w:t xml:space="preserve">Void</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15: Нормативная информация</w:t>
            </w:r>
          </w:p>
        </w:tc>
      </w:tr>
    </w:tbl>
    <w:p>
      <w:pPr>
        <w:spacing w:after="80"/>
      </w:pPr>
    </w:p>
    <w:p>
      <w:pPr>
        <w:spacing w:after="60" w:before="120"/>
      </w:pPr>
      <w:r>
        <w:rPr>
          <w:b/>
          <w:bCs/>
        </w:rPr>
        <w:t xml:space="preserve">15.1 Правила техники безопасности, охраны здоровья и окружающей среды/законодательство, специфичное для вещества или смеси</w:t>
      </w:r>
    </w:p>
    <w:p>
      <w:pPr>
        <w:spacing w:after="60" w:before="120"/>
      </w:pPr>
      <w:r>
        <w:rPr>
          <w:b/>
          <w:bCs/>
        </w:rPr>
        <w:t xml:space="preserve">Директива 2012/18/ЕС</w:t>
      </w:r>
    </w:p>
    <w:p>
      <w:pPr>
        <w:spacing w:after="80"/>
      </w:pPr>
      <w:r>
        <w:t xml:space="preserve">Опасные вещества, поименованные в Приложении I: ни один из компонентов не включён в перечень.</w:t>
      </w:r>
    </w:p>
    <w:p>
      <w:pPr>
        <w:spacing w:after="60" w:before="120"/>
      </w:pPr>
      <w:r>
        <w:rPr>
          <w:b/>
          <w:bCs/>
        </w:rPr>
        <w:t xml:space="preserve">РЕГЛАМЕНТ (ЕС) № 1907/2006, ПРИЛОЖЕНИЕ XVII</w:t>
      </w:r>
    </w:p>
    <w:p>
      <w:pPr>
        <w:spacing w:after="80"/>
      </w:pPr>
      <w:r>
        <w:t xml:space="preserve">Условия ограничения: 3.</w:t>
      </w:r>
    </w:p>
    <w:p>
      <w:pPr>
        <w:spacing w:after="60" w:before="120"/>
      </w:pPr>
      <w:r>
        <w:rPr>
          <w:b/>
          <w:bCs/>
        </w:rPr>
        <w:t xml:space="preserve">РЕГЛАМЕНТ (ЕС) 2019/1148</w:t>
      </w:r>
    </w:p>
    <w:p>
      <w:pPr>
        <w:spacing w:after="80"/>
      </w:pPr>
      <w:r>
        <w:t xml:space="preserve">Регламент (ЕС) № 273/2004 о прекурсорах наркотических веществ: ни один из компонентов не включён в перечень.</w:t>
      </w:r>
    </w:p>
    <w:p>
      <w:pPr>
        <w:spacing w:after="80"/>
      </w:pPr>
      <w:r>
        <w:t xml:space="preserve">Регламент (ЕС) № 111/2005 о мониторинге торговли прекурсорами наркотических веществ между Сообществом и третьими странами: ни один из компонентов не включён в перечень.</w:t>
      </w:r>
    </w:p>
    <w:p>
      <w:pPr>
        <w:spacing w:after="60" w:before="120"/>
      </w:pPr>
      <w:r>
        <w:rPr>
          <w:b/>
          <w:bCs/>
        </w:rPr>
        <w:t xml:space="preserve">15.2 Оценка химической безопасности</w:t>
      </w:r>
    </w:p>
    <w:p>
      <w:pPr>
        <w:spacing w:after="80"/>
      </w:pPr>
      <w:r>
        <w:t xml:space="preserve">Оценка химической безопасности не проводилась.</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1F3864"/>
          </w:tcPr>
          <w:p>
            <w:r>
              <w:rPr>
                <w:b/>
                <w:bCs/>
                <w:color w:val="FFFFFF"/>
                <w:sz w:val="24"/>
                <w:szCs w:val="24"/>
              </w:rPr>
              <w:t xml:space="preserve">РАЗДЕЛ 16: Прочая информация</w:t>
            </w:r>
          </w:p>
        </w:tc>
      </w:tr>
    </w:tbl>
    <w:p>
      <w:pPr>
        <w:spacing w:after="80"/>
      </w:pPr>
    </w:p>
    <w:p>
      <w:pPr>
        <w:spacing w:after="80"/>
      </w:pPr>
      <w:r>
        <w:t xml:space="preserve">Данная информация основана на текущем уровне наших знаний. Однако она не является гарантией каких-либо конкретных свойств продукта и не создаёт юридически действительных договорных отношений.</w:t>
      </w:r>
    </w:p>
    <w:p>
      <w:pPr>
        <w:spacing w:after="60" w:before="120"/>
      </w:pPr>
      <w:r>
        <w:rPr>
          <w:b/>
          <w:bCs/>
        </w:rPr>
        <w:t xml:space="preserve">Соответствующие фразы</w:t>
      </w:r>
    </w:p>
    <w:p>
      <w:pPr>
        <w:spacing w:after="80"/>
      </w:pPr>
      <w:r>
        <w:t xml:space="preserve">H315 Вызывает раздражение кожи.</w:t>
      </w:r>
    </w:p>
    <w:p>
      <w:pPr>
        <w:spacing w:after="80"/>
      </w:pPr>
      <w:r>
        <w:t xml:space="preserve">H317 Может вызывать аллергическую кожную реакцию.</w:t>
      </w:r>
    </w:p>
    <w:p>
      <w:pPr>
        <w:spacing w:after="80"/>
      </w:pPr>
      <w:r>
        <w:t xml:space="preserve">H319 Вызывает серьёзное раздражение глаз.</w:t>
      </w:r>
    </w:p>
    <w:p>
      <w:pPr>
        <w:spacing w:after="80"/>
      </w:pPr>
      <w:r>
        <w:t xml:space="preserve">H332 Вредно при вдыхании.</w:t>
      </w:r>
    </w:p>
    <w:p>
      <w:pPr>
        <w:spacing w:after="80"/>
      </w:pPr>
      <w:r>
        <w:t xml:space="preserve">H334 Может вызывать аллергию или симптомы астмы либо затруднение дыхания при вдыхании.</w:t>
      </w:r>
    </w:p>
    <w:p>
      <w:pPr>
        <w:spacing w:after="80"/>
      </w:pPr>
      <w:r>
        <w:t xml:space="preserve">H335 Может вызывать раздражение дыхательных путей.</w:t>
      </w:r>
    </w:p>
    <w:p>
      <w:pPr>
        <w:spacing w:after="80"/>
      </w:pPr>
      <w:r>
        <w:t xml:space="preserve">H351 Предположительно вызывает рак.</w:t>
      </w:r>
    </w:p>
    <w:p>
      <w:pPr>
        <w:spacing w:after="80"/>
      </w:pPr>
      <w:r>
        <w:t xml:space="preserve">H373 Может вызывать повреждение органов при длительном или многократном воздействии.</w:t>
      </w:r>
    </w:p>
    <w:p>
      <w:pPr>
        <w:spacing w:after="80"/>
      </w:pPr>
      <w:r>
        <w:t xml:space="preserve">EUH204 Содержит изоцианаты. Может вызывать аллергическую реакцию.</w:t>
      </w:r>
    </w:p>
    <w:p>
      <w:pPr>
        <w:spacing w:after="60" w:before="120"/>
      </w:pPr>
      <w:r>
        <w:rPr>
          <w:b/>
          <w:bCs/>
        </w:rPr>
        <w:t xml:space="preserve">Рекомендуемое ограничение применения</w:t>
      </w:r>
    </w:p>
    <w:p>
      <w:pPr>
        <w:spacing w:after="80"/>
      </w:pPr>
      <w:r>
        <w:t xml:space="preserve">Только для профессионального использования.</w:t>
      </w:r>
    </w:p>
    <w:p>
      <w:pPr>
        <w:spacing w:after="60" w:before="120"/>
      </w:pPr>
      <w:r>
        <w:rPr>
          <w:b/>
          <w:bCs/>
        </w:rPr>
        <w:t xml:space="preserve">Классификация согласно Регламенту (ЕС) № 1272/2008</w:t>
      </w:r>
    </w:p>
    <w:p>
      <w:pPr>
        <w:spacing w:after="80"/>
      </w:pPr>
      <w:r>
        <w:t xml:space="preserve">Классификация смеси в целом основана на расчётном методе с использованием данных по веществам согласно Регламенту (ЕС) № 1272/2008.</w:t>
      </w:r>
    </w:p>
    <w:p>
      <w:pPr>
        <w:spacing w:after="60" w:before="120"/>
      </w:pPr>
      <w:r>
        <w:rPr>
          <w:b/>
          <w:bCs/>
        </w:rPr>
        <w:t xml:space="preserve">Отдел, выпустивший паспорт безопасности</w:t>
      </w:r>
    </w:p>
    <w:p>
      <w:pPr>
        <w:spacing w:after="80"/>
      </w:pPr>
      <w:r>
        <w:t xml:space="preserve">Отдел безопасности продукции.</w:t>
      </w:r>
    </w:p>
    <w:p>
      <w:pPr>
        <w:spacing w:after="60" w:before="120"/>
      </w:pPr>
      <w:r>
        <w:rPr>
          <w:b/>
          <w:bCs/>
        </w:rPr>
        <w:t xml:space="preserve">Контакт</w:t>
      </w:r>
    </w:p>
    <w:p>
      <w:pPr>
        <w:spacing w:after="80"/>
      </w:pPr>
      <w:r>
        <w:t xml:space="preserve">Отдел безопасности продукции. Телефон: +49 (0)731 4097 207. E-mail: msds.info@uzin-utz.com</w:t>
      </w:r>
    </w:p>
    <w:p>
      <w:pPr>
        <w:spacing w:after="60" w:before="120"/>
      </w:pPr>
      <w:r>
        <w:rPr>
          <w:b/>
          <w:bCs/>
        </w:rPr>
        <w:t xml:space="preserve">Сокращения и акронимы</w:t>
      </w:r>
    </w:p>
    <w:p>
      <w:pPr>
        <w:spacing w:after="80"/>
      </w:pPr>
      <w:r>
        <w:t xml:space="preserve">RID — Правила международной перевозки опасных грузов по железным дорогам.</w:t>
      </w:r>
    </w:p>
    <w:p>
      <w:pPr>
        <w:spacing w:after="80"/>
      </w:pPr>
      <w:r>
        <w:t xml:space="preserve">ICAO — Международная организация гражданской авиации.</w:t>
      </w:r>
    </w:p>
    <w:p>
      <w:pPr>
        <w:spacing w:after="80"/>
      </w:pPr>
      <w:r>
        <w:t xml:space="preserve">ADR — Европейское соглашение о международной дорожной перевозке опасных грузов.</w:t>
      </w:r>
    </w:p>
    <w:p>
      <w:pPr>
        <w:spacing w:after="80"/>
      </w:pPr>
      <w:r>
        <w:t xml:space="preserve">IMDG — Международный морской кодекс по опасным грузам.</w:t>
      </w:r>
    </w:p>
    <w:p>
      <w:pPr>
        <w:spacing w:after="80"/>
      </w:pPr>
      <w:r>
        <w:t xml:space="preserve">IATA — Международная ассоциация воздушного транспорта.</w:t>
      </w:r>
    </w:p>
    <w:p>
      <w:pPr>
        <w:spacing w:after="80"/>
      </w:pPr>
      <w:r>
        <w:t xml:space="preserve">GHS — Согласованная на глобальном уровне система классификации и маркировки химических веществ.</w:t>
      </w:r>
    </w:p>
    <w:p>
      <w:pPr>
        <w:spacing w:after="80"/>
      </w:pPr>
      <w:r>
        <w:t xml:space="preserve">EINECS — Европейский реестр существующих коммерческих химических веществ.</w:t>
      </w:r>
    </w:p>
    <w:p>
      <w:pPr>
        <w:spacing w:after="80"/>
      </w:pPr>
      <w:r>
        <w:t xml:space="preserve">ELINCS — Европейский список зарегистрированных химических веществ.</w:t>
      </w:r>
    </w:p>
    <w:p>
      <w:pPr>
        <w:spacing w:after="80"/>
      </w:pPr>
      <w:r>
        <w:t xml:space="preserve">CAS — Служба реферирования химических веществ (подразделение Американского химического общества).</w:t>
      </w:r>
    </w:p>
    <w:p>
      <w:pPr>
        <w:spacing w:after="80"/>
      </w:pPr>
      <w:r>
        <w:t xml:space="preserve">LC50 — летальная концентрация, 50 процентов.</w:t>
      </w:r>
    </w:p>
    <w:p>
      <w:pPr>
        <w:spacing w:after="80"/>
      </w:pPr>
      <w:r>
        <w:t xml:space="preserve">LD50 — летальная доза, 50 процентов.</w:t>
      </w:r>
    </w:p>
    <w:p>
      <w:pPr>
        <w:spacing w:after="80"/>
      </w:pPr>
      <w:r>
        <w:t xml:space="preserve">PBT — СБТ (стойкое, биоаккумулятивное и токсичное вещество).</w:t>
      </w:r>
    </w:p>
    <w:p>
      <w:pPr>
        <w:spacing w:after="80"/>
      </w:pPr>
      <w:r>
        <w:t xml:space="preserve">vPvB — оСБсБ (очень стойкое и очень биоаккумулятивное вещество).</w:t>
      </w:r>
    </w:p>
    <w:p>
      <w:pPr>
        <w:spacing w:after="80"/>
      </w:pPr>
      <w:r>
        <w:t xml:space="preserve">Acute Tox. 4 — острая токсичность, категория 4.</w:t>
      </w:r>
    </w:p>
    <w:p>
      <w:pPr>
        <w:spacing w:after="80"/>
      </w:pPr>
      <w:r>
        <w:t xml:space="preserve">Skin Irrit. 2 — разъедание/раздражение кожи, категория 2.</w:t>
      </w:r>
    </w:p>
    <w:p>
      <w:pPr>
        <w:spacing w:after="80"/>
      </w:pPr>
      <w:r>
        <w:t xml:space="preserve">Eye Irrit. 2 — серьёзное повреждение/раздражение глаз, категория 2.</w:t>
      </w:r>
    </w:p>
    <w:p>
      <w:pPr>
        <w:spacing w:after="80"/>
      </w:pPr>
      <w:r>
        <w:t xml:space="preserve">Resp. Sens. 1 — сенсибилизация дыхательных путей, категория 1.</w:t>
      </w:r>
    </w:p>
    <w:p>
      <w:pPr>
        <w:spacing w:after="80"/>
      </w:pPr>
      <w:r>
        <w:t xml:space="preserve">Skin Sens. 1 — сенсибилизация кожи, категория 1.</w:t>
      </w:r>
    </w:p>
    <w:p>
      <w:pPr>
        <w:spacing w:after="80"/>
      </w:pPr>
      <w:r>
        <w:t xml:space="preserve">Carc. 2 — канцерогенность, категория 2.</w:t>
      </w:r>
    </w:p>
    <w:p>
      <w:pPr>
        <w:spacing w:after="80"/>
      </w:pPr>
      <w:r>
        <w:t xml:space="preserve">STOT SE 3 — специфическая токсичность на органы-мишени (однократное воздействие), категория 3.</w:t>
      </w:r>
    </w:p>
    <w:p>
      <w:pPr>
        <w:spacing w:after="80"/>
      </w:pPr>
      <w:r>
        <w:t xml:space="preserve">STOT RE 2 — специфическая токсичность на органы-мишени (повторное воздействие), категория 2.</w:t>
      </w:r>
    </w:p>
    <w:p>
      <w:pPr>
        <w:spacing w:after="80"/>
      </w:pPr>
      <w:r>
        <w:t xml:space="preserve">* Данные изменены по сравнению с предыдущей версией.</w:t>
      </w:r>
    </w:p>
    <w:p>
      <w:pPr>
        <w:spacing w:after="16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2026-07-13T11:38:08.277Z</dcterms:created>
  <dcterms:modified xsi:type="dcterms:W3CDTF">2026-07-13T11:38:08.277Z</dcterms:modified>
</cp:coreProperties>
</file>

<file path=docProps/custom.xml><?xml version="1.0" encoding="utf-8"?>
<Properties xmlns="http://schemas.openxmlformats.org/officeDocument/2006/custom-properties" xmlns:vt="http://schemas.openxmlformats.org/officeDocument/2006/docPropsVTypes"/>
</file>