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Паспорт безопасности</w:t>
      </w:r>
    </w:p>
    <w:p>
      <w:pPr>
        <w:spacing w:after="200"/>
        <w:jc w:val="center"/>
      </w:pPr>
      <w:r>
        <w:rPr>
          <w:i/>
          <w:iCs/>
        </w:rPr>
        <w:t xml:space="preserve">согласно 1907/2006/EC, Статья 31</w:t>
      </w:r>
    </w:p>
    <w:p>
      <w:pPr>
        <w:pBdr>
          <w:bottom w:val="single" w:color="000000" w:sz="6" w:space="4"/>
        </w:pBdr>
        <w:spacing w:after="300"/>
        <w:jc w:val="center"/>
      </w:pPr>
      <w:r>
        <w:rPr>
          <w:b/>
          <w:bCs/>
          <w:sz w:val="26"/>
          <w:szCs w:val="26"/>
        </w:rPr>
        <w:t xml:space="preserve">UZIN NC 182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1: Идентификация вещества/смеси и сведения о компании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1.1 Идентификатор продукта</w:t>
      </w:r>
    </w:p>
    <w:p>
      <w:pPr>
        <w:spacing w:after="80"/>
      </w:pPr>
      <w:r>
        <w:t xml:space="preserve">Торговое название: UZIN NC 182</w:t>
      </w:r>
    </w:p>
    <w:p>
      <w:pPr>
        <w:spacing w:after="60" w:before="120"/>
      </w:pPr>
      <w:r>
        <w:rPr>
          <w:b/>
          <w:bCs/>
        </w:rPr>
        <w:t xml:space="preserve">1.2 Соответствующие установленные виды использования вещества или смеси и виды использования, не рекомендуемые к применению</w:t>
      </w:r>
    </w:p>
    <w:p>
      <w:pPr>
        <w:spacing w:after="80"/>
      </w:pPr>
      <w:r>
        <w:t xml:space="preserve">Особых требований нет.</w:t>
      </w:r>
    </w:p>
    <w:p>
      <w:pPr>
        <w:spacing w:after="60" w:before="120"/>
      </w:pPr>
      <w:r>
        <w:rPr>
          <w:b/>
          <w:bCs/>
        </w:rPr>
        <w:t xml:space="preserve">Сектор применения</w:t>
      </w:r>
    </w:p>
    <w:p>
      <w:pPr>
        <w:spacing w:after="80"/>
      </w:pPr>
      <w:r>
        <w:t xml:space="preserve">SU19 Строительные работы</w:t>
      </w:r>
    </w:p>
    <w:p>
      <w:pPr>
        <w:spacing w:after="80"/>
      </w:pPr>
      <w:r>
        <w:t xml:space="preserve">SU22 Профессиональное использование: общественная сфера (администрирование, образование, развлечения, услуги, ремесленники)</w:t>
      </w:r>
    </w:p>
    <w:p>
      <w:pPr>
        <w:spacing w:after="80"/>
      </w:pPr>
      <w:r>
        <w:t xml:space="preserve">Только для профессионального использования.</w:t>
      </w:r>
    </w:p>
    <w:p>
      <w:pPr>
        <w:spacing w:after="60" w:before="120"/>
      </w:pPr>
      <w:r>
        <w:rPr>
          <w:b/>
          <w:bCs/>
        </w:rPr>
        <w:t xml:space="preserve">Категория продукта</w:t>
      </w:r>
    </w:p>
    <w:p>
      <w:pPr>
        <w:spacing w:after="80"/>
      </w:pPr>
      <w:r>
        <w:t xml:space="preserve">PC9b Наполнители, шпатлёвки, штукатурки, моделирующие массы</w:t>
      </w:r>
    </w:p>
    <w:p>
      <w:pPr>
        <w:spacing w:after="60" w:before="120"/>
      </w:pPr>
      <w:r>
        <w:rPr>
          <w:b/>
          <w:bCs/>
        </w:rPr>
        <w:t xml:space="preserve">Применение вещества/смеси</w:t>
      </w:r>
    </w:p>
    <w:p>
      <w:pPr>
        <w:spacing w:after="80"/>
      </w:pPr>
      <w:r>
        <w:t xml:space="preserve">Ремонтный раствор с низкой текучестью, повторного перемешивания</w:t>
      </w:r>
    </w:p>
    <w:p>
      <w:pPr>
        <w:spacing w:after="60" w:before="120"/>
      </w:pPr>
      <w:r>
        <w:rPr>
          <w:b/>
          <w:bCs/>
        </w:rPr>
        <w:t xml:space="preserve">1.3 Данные поставщика паспорта безопасности</w:t>
      </w:r>
    </w:p>
    <w:p>
      <w:pPr>
        <w:spacing w:after="80"/>
      </w:pPr>
      <w:r>
        <w:t xml:space="preserve">Производитель:</w:t>
      </w:r>
    </w:p>
    <w:p>
      <w:pPr>
        <w:spacing w:after="80"/>
      </w:pPr>
      <w:r>
        <w:t xml:space="preserve">UZIN UTZ SE, Dieselstraße 3, D-89079 Ulm. Телефон +49 731 4097-0</w:t>
      </w:r>
    </w:p>
    <w:p>
      <w:pPr>
        <w:spacing w:after="80"/>
      </w:pPr>
      <w:r>
        <w:t xml:space="preserve">Поставщик в Великобритании: Uzin Utz UK Ltd., Unit 2, Mitchell Court, Central Park, Rugby, Warwickshire, CV23 0UY. Телефон +44 1788 530 080. Email: info@uk.uzin-utz.com</w:t>
      </w:r>
    </w:p>
    <w:p>
      <w:pPr>
        <w:spacing w:after="80"/>
      </w:pPr>
      <w:r>
        <w:t xml:space="preserve">Дополнительную информацию можно получить: Отдел безопасности продукции, msds.info@uzin-utz.com</w:t>
      </w:r>
    </w:p>
    <w:p>
      <w:pPr>
        <w:spacing w:after="60" w:before="120"/>
      </w:pPr>
      <w:r>
        <w:rPr>
          <w:b/>
          <w:bCs/>
        </w:rPr>
        <w:t xml:space="preserve">1.4 Номер телефона для экстренных случаев</w:t>
      </w:r>
    </w:p>
    <w:p>
      <w:pPr>
        <w:spacing w:after="80"/>
      </w:pPr>
      <w:r>
        <w:t xml:space="preserve">Медицинские экстренные случаи (Информационный токсикологический центр GIZ-Nord): +49 551 19240</w:t>
      </w:r>
    </w:p>
    <w:p>
      <w:pPr>
        <w:spacing w:after="80"/>
      </w:pPr>
      <w:r>
        <w:t xml:space="preserve">Экстренные случаи при транспортировке: +49 621 60 43 333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2: Идентификация опасности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2.1 Классификация вещества или смеси</w:t>
      </w:r>
    </w:p>
    <w:p>
      <w:pPr>
        <w:spacing w:after="80"/>
      </w:pPr>
      <w:r>
        <w:t xml:space="preserve">Классификация согласно Регламенту (ЕС) № 1272/2008:</w:t>
      </w:r>
    </w:p>
    <w:p>
      <w:pPr>
        <w:spacing w:after="80"/>
      </w:pPr>
      <w:r>
        <w:t xml:space="preserve">GHS05 — коррозия. Eye Dam. 1, H318 Вызывает серьёзное повреждение глаз.</w:t>
      </w:r>
    </w:p>
    <w:p>
      <w:pPr>
        <w:spacing w:after="80"/>
      </w:pPr>
      <w:r>
        <w:t xml:space="preserve">GHS07. Skin Irrit. 2, H315 Вызывает раздражение кожи.</w:t>
      </w:r>
    </w:p>
    <w:p>
      <w:pPr>
        <w:spacing w:after="80"/>
      </w:pPr>
      <w:r>
        <w:t xml:space="preserve">Дополнительная информация: горячая линия по вопросам аллергии: +49 731 4097-0</w:t>
      </w:r>
    </w:p>
    <w:p>
      <w:pPr>
        <w:spacing w:after="60" w:before="120"/>
      </w:pPr>
      <w:r>
        <w:rPr>
          <w:b/>
          <w:bCs/>
        </w:rPr>
        <w:t xml:space="preserve">2.2 Элементы маркировки</w:t>
      </w:r>
    </w:p>
    <w:p>
      <w:pPr>
        <w:spacing w:after="80"/>
      </w:pPr>
      <w:r>
        <w:t xml:space="preserve">Маркировка согласно Регламенту (ЕС) № 1272/2008. Продукт классифицирован и маркирован согласно регламенту GB CLP.</w:t>
      </w:r>
    </w:p>
    <w:p>
      <w:pPr>
        <w:spacing w:after="60" w:before="120"/>
      </w:pPr>
      <w:r>
        <w:rPr>
          <w:b/>
          <w:bCs/>
        </w:rPr>
        <w:t xml:space="preserve">Пиктограммы опасности</w:t>
      </w:r>
    </w:p>
    <w:p>
      <w:pPr>
        <w:spacing w:after="80"/>
      </w:pPr>
      <w:r>
        <w:t xml:space="preserve">GHS05</w:t>
      </w:r>
    </w:p>
    <w:p>
      <w:pPr>
        <w:spacing w:after="60" w:before="120"/>
      </w:pPr>
      <w:r>
        <w:rPr>
          <w:b/>
          <w:bCs/>
        </w:rPr>
        <w:t xml:space="preserve">Сигнальное слово</w:t>
      </w:r>
    </w:p>
    <w:p>
      <w:pPr>
        <w:spacing w:after="80"/>
      </w:pPr>
      <w:r>
        <w:t xml:space="preserve">Опасно</w:t>
      </w:r>
    </w:p>
    <w:p>
      <w:pPr>
        <w:spacing w:after="60" w:before="120"/>
      </w:pPr>
      <w:r>
        <w:rPr>
          <w:b/>
          <w:bCs/>
        </w:rPr>
        <w:t xml:space="preserve">Компоненты, определяющие опасность маркировки</w:t>
      </w:r>
    </w:p>
    <w:p>
      <w:pPr>
        <w:spacing w:after="80"/>
      </w:pPr>
      <w:r>
        <w:t xml:space="preserve">Портландцемент</w:t>
      </w:r>
    </w:p>
    <w:p>
      <w:pPr>
        <w:spacing w:after="60" w:before="120"/>
      </w:pPr>
      <w:r>
        <w:rPr>
          <w:b/>
          <w:bCs/>
        </w:rPr>
        <w:t xml:space="preserve">Указания на опасность</w:t>
      </w:r>
    </w:p>
    <w:p>
      <w:pPr>
        <w:spacing w:after="80"/>
      </w:pPr>
      <w:r>
        <w:t xml:space="preserve">H315 Вызывает раздражение кожи.</w:t>
      </w:r>
    </w:p>
    <w:p>
      <w:pPr>
        <w:spacing w:after="80"/>
      </w:pPr>
      <w:r>
        <w:t xml:space="preserve">H318 Вызывает серьёзное повреждение глаз.</w:t>
      </w:r>
    </w:p>
    <w:p>
      <w:pPr>
        <w:spacing w:after="60" w:before="120"/>
      </w:pPr>
      <w:r>
        <w:rPr>
          <w:b/>
          <w:bCs/>
        </w:rPr>
        <w:t xml:space="preserve">Меры предосторожности</w:t>
      </w:r>
    </w:p>
    <w:p>
      <w:pPr>
        <w:spacing w:after="80"/>
      </w:pPr>
      <w:r>
        <w:t xml:space="preserve">P102 Хранить в недоступном для детей месте.</w:t>
      </w:r>
    </w:p>
    <w:p>
      <w:pPr>
        <w:spacing w:after="80"/>
      </w:pPr>
      <w:r>
        <w:t xml:space="preserve">P261 Не вдыхать пыль.</w:t>
      </w:r>
    </w:p>
    <w:p>
      <w:pPr>
        <w:spacing w:after="80"/>
      </w:pPr>
      <w:r>
        <w:t xml:space="preserve">P280 Использовать защитные перчатки/защиту глаз.</w:t>
      </w:r>
    </w:p>
    <w:p>
      <w:pPr>
        <w:spacing w:after="80"/>
      </w:pPr>
      <w:r>
        <w:t xml:space="preserve">P302+P352 ПРИ ПОПАДАНИИ НА КОЖУ: промыть большим количеством воды с мылом.</w:t>
      </w:r>
    </w:p>
    <w:p>
      <w:pPr>
        <w:spacing w:after="80"/>
      </w:pPr>
      <w:r>
        <w:t xml:space="preserve">P305+P351+P338 ПРИ ПОПАДАНИИ В ГЛАЗА: осторожно промывать водой в течение нескольких минут. Снять контактные линзы, если это легко сделать. Продолжить промывание.</w:t>
      </w:r>
    </w:p>
    <w:p>
      <w:pPr>
        <w:spacing w:after="80"/>
      </w:pPr>
      <w:r>
        <w:t xml:space="preserve">P337+P313 При продолжающемся раздражении глаз: обратиться за медицинской консультацией/помощью.</w:t>
      </w:r>
    </w:p>
    <w:p>
      <w:pPr>
        <w:spacing w:after="60" w:before="120"/>
      </w:pPr>
      <w:r>
        <w:rPr>
          <w:b/>
          <w:bCs/>
        </w:rPr>
        <w:t xml:space="preserve">Дополнительная информация</w:t>
      </w:r>
    </w:p>
    <w:p>
      <w:pPr>
        <w:spacing w:after="80"/>
      </w:pPr>
      <w:r>
        <w:t xml:space="preserve">Низкое содержание хроматов (&lt; 2 ppm) согласно Регламенту (ЕС) № 1907/2006 (UK REACH, приложение XVII, п. 47).</w:t>
      </w:r>
    </w:p>
    <w:p>
      <w:pPr>
        <w:spacing w:after="60" w:before="120"/>
      </w:pPr>
      <w:r>
        <w:rPr>
          <w:b/>
          <w:bCs/>
        </w:rPr>
        <w:t xml:space="preserve">2.3 Прочие опасности</w:t>
      </w:r>
    </w:p>
    <w:p>
      <w:pPr>
        <w:spacing w:after="60" w:before="120"/>
      </w:pPr>
      <w:r>
        <w:rPr>
          <w:b/>
          <w:bCs/>
        </w:rPr>
        <w:t xml:space="preserve">Результаты оценки на СБТ и оСБсБ</w:t>
      </w:r>
    </w:p>
    <w:p>
      <w:pPr>
        <w:spacing w:after="60" w:before="120"/>
      </w:pPr>
      <w:r>
        <w:rPr>
          <w:b/>
          <w:bCs/>
        </w:rPr>
        <w:t xml:space="preserve">СБТ:</w:t>
      </w:r>
    </w:p>
    <w:p>
      <w:pPr>
        <w:spacing w:after="80"/>
      </w:pPr>
      <w:r>
        <w:t xml:space="preserve">Данное вещество/смесь не содержит компонентов, которые могут считаться стойкими, биоаккумулятивными и токсичными (СБТ).</w:t>
      </w:r>
    </w:p>
    <w:p>
      <w:pPr>
        <w:spacing w:after="60" w:before="120"/>
      </w:pPr>
      <w:r>
        <w:rPr>
          <w:b/>
          <w:bCs/>
        </w:rPr>
        <w:t xml:space="preserve">оСБсБ:</w:t>
      </w:r>
    </w:p>
    <w:p>
      <w:pPr>
        <w:spacing w:after="80"/>
      </w:pPr>
      <w:r>
        <w:t xml:space="preserve">Данное вещество/смесь не содержит компонентов, которые могут считаться очень стойкими и очень биоаккумулятивными (оСБсБ) при концентрациях 0,1 %.</w:t>
      </w:r>
    </w:p>
    <w:p>
      <w:pPr>
        <w:spacing w:after="60" w:before="120"/>
      </w:pPr>
      <w:r>
        <w:rPr>
          <w:b/>
          <w:bCs/>
        </w:rPr>
        <w:t xml:space="preserve">Определение свойств эндокринных разрушителей</w:t>
      </w:r>
    </w:p>
    <w:p>
      <w:pPr>
        <w:spacing w:after="80"/>
      </w:pPr>
      <w:r>
        <w:t xml:space="preserve">Данный продукт не содержит известных или предполагаемых эндокринных разрушителей.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3: Состав/информация о компонентах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3.2 Смеси</w:t>
      </w:r>
    </w:p>
    <w:p>
      <w:pPr>
        <w:spacing w:after="80"/>
      </w:pPr>
      <w:r>
        <w:t xml:space="preserve">Описание: смесь веществ, перечисленных ниже, с неопасными добавками.</w:t>
      </w:r>
    </w:p>
    <w:p>
      <w:pPr>
        <w:spacing w:after="60" w:before="120"/>
      </w:pPr>
      <w:r>
        <w:rPr>
          <w:b/>
          <w:bCs/>
        </w:rPr>
        <w:t xml:space="preserve">Опасные компоненты</w:t>
      </w:r>
    </w:p>
    <w:tbl>
      <w:tblPr>
        <w:tblW w:type="pct" w:w="100%"/>
        <w:tblBorders>
          <w:top w:val="single" w:color="8EA9DB" w:sz="4"/>
          <w:left w:val="single" w:color="8EA9DB" w:sz="4"/>
          <w:bottom w:val="single" w:color="8EA9DB" w:sz="4"/>
          <w:right w:val="single" w:color="8EA9DB" w:sz="4"/>
          <w:insideH w:val="single" w:color="8EA9DB" w:sz="4"/>
          <w:insideV w:val="single" w:color="8EA9DB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D9E2F3"/>
          </w:tcPr>
          <w:p>
            <w:r>
              <w:rPr>
                <w:b/>
                <w:bCs/>
              </w:rPr>
              <w:t xml:space="preserve">CAS / EINECS</w:t>
            </w:r>
          </w:p>
        </w:tc>
        <w:tc>
          <w:tcPr>
            <w:shd w:fill="D9E2F3"/>
          </w:tcPr>
          <w:p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shd w:fill="D9E2F3"/>
          </w:tcPr>
          <w:p>
            <w:r>
              <w:rPr>
                <w:b/>
                <w:bCs/>
              </w:rPr>
              <w:t xml:space="preserve">Классификация</w:t>
            </w:r>
          </w:p>
        </w:tc>
        <w:tc>
          <w:tcPr>
            <w:shd w:fill="D9E2F3"/>
          </w:tcPr>
          <w:p>
            <w:r>
              <w:rPr>
                <w:b/>
                <w:bCs/>
              </w:rPr>
              <w:t xml:space="preserve">Концентрация</w:t>
            </w:r>
          </w:p>
        </w:tc>
      </w:tr>
      <w:tr>
        <w:tc>
          <w:p>
            <w:r>
              <w:t xml:space="preserve">CAS: 65997-15-1
EINECS: 266-043-4</w:t>
            </w:r>
          </w:p>
        </w:tc>
        <w:tc>
          <w:p>
            <w:r>
              <w:t xml:space="preserve">Портландцемент</w:t>
            </w:r>
          </w:p>
        </w:tc>
        <w:tc>
          <w:p>
            <w:r>
              <w:t xml:space="preserve">Eye Dam. 1, H318; Skin Irrit. 2, H315; STOT SE 3, H335</w:t>
            </w:r>
          </w:p>
        </w:tc>
        <w:tc>
          <w:p>
            <w:r>
              <w:t xml:space="preserve">10-&lt;20%</w:t>
            </w:r>
          </w:p>
        </w:tc>
      </w:tr>
    </w:tbl>
    <w:p>
      <w:pPr>
        <w:spacing w:after="80"/>
      </w:pPr>
      <w:r>
        <w:rPr>
          <w:i/>
          <w:iCs/>
        </w:rPr>
        <w:t xml:space="preserve">Указанные классы опасности/фразы относятся к чистому веществу-компоненту, а не к готовому продукту в том виде, в котором он продаётся и используется — сам продукт классифицирован как опасный (Eye Dam. 1, H318; Skin Irrit. 2, H315), однако его классификация не включает STOT SE 3, H335, указанный для компонента в чистом виде (см. раздел 2.1).</w:t>
      </w:r>
    </w:p>
    <w:p>
      <w:pPr>
        <w:spacing w:after="60" w:before="120"/>
      </w:pPr>
      <w:r>
        <w:rPr>
          <w:b/>
          <w:bCs/>
        </w:rPr>
        <w:t xml:space="preserve">Дополнительная информация</w:t>
      </w:r>
    </w:p>
    <w:p>
      <w:pPr>
        <w:spacing w:after="80"/>
      </w:pPr>
      <w:r>
        <w:t xml:space="preserve">Содержание респирабельного кристаллического кремнезёма составляет менее 0,1 %.</w:t>
      </w:r>
    </w:p>
    <w:p>
      <w:pPr>
        <w:spacing w:after="80"/>
      </w:pPr>
      <w:r>
        <w:t xml:space="preserve">Формулировки указанных фраз опасности приведены в разделе 16.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4: Меры первой помощи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4.1 Описание мер первой помощи</w:t>
      </w:r>
    </w:p>
    <w:p>
      <w:pPr>
        <w:spacing w:after="60" w:before="120"/>
      </w:pPr>
      <w:r>
        <w:rPr>
          <w:b/>
          <w:bCs/>
        </w:rPr>
        <w:t xml:space="preserve">Общая информация</w:t>
      </w:r>
    </w:p>
    <w:p>
      <w:pPr>
        <w:spacing w:after="80"/>
      </w:pPr>
      <w:r>
        <w:t xml:space="preserve">Особых мер не требуется.</w:t>
      </w:r>
    </w:p>
    <w:p>
      <w:pPr>
        <w:spacing w:after="60" w:before="120"/>
      </w:pPr>
      <w:r>
        <w:rPr>
          <w:b/>
          <w:bCs/>
        </w:rPr>
        <w:t xml:space="preserve">После вдыхания</w:t>
      </w:r>
    </w:p>
    <w:p>
      <w:pPr>
        <w:spacing w:after="80"/>
      </w:pPr>
      <w:r>
        <w:t xml:space="preserve">Обеспечить приток свежего воздуха; при жалобах обратиться к врачу.</w:t>
      </w:r>
    </w:p>
    <w:p>
      <w:pPr>
        <w:spacing w:after="60" w:before="120"/>
      </w:pPr>
      <w:r>
        <w:rPr>
          <w:b/>
          <w:bCs/>
        </w:rPr>
        <w:t xml:space="preserve">После контакта с кожей</w:t>
      </w:r>
    </w:p>
    <w:p>
      <w:pPr>
        <w:spacing w:after="80"/>
      </w:pPr>
      <w:r>
        <w:t xml:space="preserve">Немедленно промыть водой с мылом и тщательно ополоснуть.</w:t>
      </w:r>
    </w:p>
    <w:p>
      <w:pPr>
        <w:spacing w:after="60" w:before="120"/>
      </w:pPr>
      <w:r>
        <w:rPr>
          <w:b/>
          <w:bCs/>
        </w:rPr>
        <w:t xml:space="preserve">После контакта с глазами</w:t>
      </w:r>
    </w:p>
    <w:p>
      <w:pPr>
        <w:spacing w:after="80"/>
      </w:pPr>
      <w:r>
        <w:t xml:space="preserve">ПРИ ПОПАДАНИИ В ГЛАЗА: осторожно промывать водой в течение нескольких минут. Снять контактные линзы, если это легко сделать. Продолжить промывание.</w:t>
      </w:r>
    </w:p>
    <w:p>
      <w:pPr>
        <w:spacing w:after="80"/>
      </w:pPr>
      <w:r>
        <w:t xml:space="preserve">При продолжающемся раздражении глаз: обратиться за медицинской консультацией/помощью.</w:t>
      </w:r>
    </w:p>
    <w:p>
      <w:pPr>
        <w:spacing w:after="60" w:before="120"/>
      </w:pPr>
      <w:r>
        <w:rPr>
          <w:b/>
          <w:bCs/>
        </w:rPr>
        <w:t xml:space="preserve">После проглатывания</w:t>
      </w:r>
    </w:p>
    <w:p>
      <w:pPr>
        <w:spacing w:after="80"/>
      </w:pPr>
      <w:r>
        <w:t xml:space="preserve">Не вызывать рвоту; немедленно вызвать медицинскую помощь.</w:t>
      </w:r>
    </w:p>
    <w:p>
      <w:pPr>
        <w:spacing w:after="60" w:before="120"/>
      </w:pPr>
      <w:r>
        <w:rPr>
          <w:b/>
          <w:bCs/>
        </w:rPr>
        <w:t xml:space="preserve">4.2 Наиболее важные симптомы и эффекты, острые и отсроченные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4.3 Указание на необходимость немедленной медицинской помощи и специального лечения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5: Меры пожаротушения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5.1 Средства пожаротушения</w:t>
      </w:r>
    </w:p>
    <w:p>
      <w:pPr>
        <w:spacing w:after="60" w:before="120"/>
      </w:pPr>
      <w:r>
        <w:rPr>
          <w:b/>
          <w:bCs/>
        </w:rPr>
        <w:t xml:space="preserve">Подходящие средства пожаротушения</w:t>
      </w:r>
    </w:p>
    <w:p>
      <w:pPr>
        <w:spacing w:after="80"/>
      </w:pPr>
      <w:r>
        <w:t xml:space="preserve">CO₂, порошок или водяное распыление. При крупных пожарах — водяное распыление или спиртостойкая пена.</w:t>
      </w:r>
    </w:p>
    <w:p>
      <w:pPr>
        <w:spacing w:after="60" w:before="120"/>
      </w:pPr>
      <w:r>
        <w:rPr>
          <w:b/>
          <w:bCs/>
        </w:rPr>
        <w:t xml:space="preserve">Средства пожаротушения, непригодные по соображениям безопасности</w:t>
      </w:r>
    </w:p>
    <w:p>
      <w:pPr>
        <w:spacing w:after="80"/>
      </w:pPr>
      <w:r>
        <w:t xml:space="preserve">Вода со сплошной струёй.</w:t>
      </w:r>
    </w:p>
    <w:p>
      <w:pPr>
        <w:spacing w:after="60" w:before="120"/>
      </w:pPr>
      <w:r>
        <w:rPr>
          <w:b/>
          <w:bCs/>
        </w:rPr>
        <w:t xml:space="preserve">5.2 Особые опасности, исходящие от вещества или смеси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5.3 Рекомендации для пожарных</w:t>
      </w:r>
    </w:p>
    <w:p>
      <w:pPr>
        <w:spacing w:after="60" w:before="120"/>
      </w:pPr>
      <w:r>
        <w:rPr>
          <w:b/>
          <w:bCs/>
        </w:rPr>
        <w:t xml:space="preserve">Защитное оборудование</w:t>
      </w:r>
    </w:p>
    <w:p>
      <w:pPr>
        <w:spacing w:after="80"/>
      </w:pPr>
      <w:r>
        <w:t xml:space="preserve">Использовать пылезащитную маску.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6: Меры при случайном высвобождении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6.1 Меры личной предосторожности, защитное оборудование и порядок действий в чрезвычайной ситуации</w:t>
      </w:r>
    </w:p>
    <w:p>
      <w:pPr>
        <w:spacing w:after="80"/>
      </w:pPr>
      <w:r>
        <w:t xml:space="preserve">Использовать пылезащитную маску.</w:t>
      </w:r>
    </w:p>
    <w:p>
      <w:pPr>
        <w:spacing w:after="60" w:before="120"/>
      </w:pPr>
      <w:r>
        <w:rPr>
          <w:b/>
          <w:bCs/>
        </w:rPr>
        <w:t xml:space="preserve">6.2 Меры предосторожности для окружающей среды</w:t>
      </w:r>
    </w:p>
    <w:p>
      <w:pPr>
        <w:spacing w:after="80"/>
      </w:pPr>
      <w:r>
        <w:t xml:space="preserve">Не допускать попадания в канализацию, поверхностные или грунтовые воды.</w:t>
      </w:r>
    </w:p>
    <w:p>
      <w:pPr>
        <w:spacing w:after="60" w:before="120"/>
      </w:pPr>
      <w:r>
        <w:rPr>
          <w:b/>
          <w:bCs/>
        </w:rPr>
        <w:t xml:space="preserve">6.3 Методы и материалы для локализации и очистки</w:t>
      </w:r>
    </w:p>
    <w:p>
      <w:pPr>
        <w:spacing w:after="80"/>
      </w:pPr>
      <w:r>
        <w:t xml:space="preserve">Собрать механическим способом.</w:t>
      </w:r>
    </w:p>
    <w:p>
      <w:pPr>
        <w:spacing w:after="60" w:before="120"/>
      </w:pPr>
      <w:r>
        <w:rPr>
          <w:b/>
          <w:bCs/>
        </w:rPr>
        <w:t xml:space="preserve">6.4 Ссылка на другие разделы</w:t>
      </w:r>
    </w:p>
    <w:p>
      <w:pPr>
        <w:spacing w:after="80"/>
      </w:pPr>
      <w:r>
        <w:t xml:space="preserve">См. раздел 7 — сведения о безопасном обращении.</w:t>
      </w:r>
    </w:p>
    <w:p>
      <w:pPr>
        <w:spacing w:after="80"/>
      </w:pPr>
      <w:r>
        <w:t xml:space="preserve">См. раздел 8 — сведения о средствах индивидуальной защиты.</w:t>
      </w:r>
    </w:p>
    <w:p>
      <w:pPr>
        <w:spacing w:after="80"/>
      </w:pPr>
      <w:r>
        <w:t xml:space="preserve">См. раздел 13 — сведения по утилизации.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7: Обращение и хранение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7.1 Меры предосторожности для безопасного обращения</w:t>
      </w:r>
    </w:p>
    <w:p>
      <w:pPr>
        <w:spacing w:after="0"/>
      </w:pPr>
      <w:r>
        <w:t xml:space="preserve">● Хранить в недоступном для детей месте.</w:t>
      </w:r>
    </w:p>
    <w:p>
      <w:pPr>
        <w:spacing w:after="0"/>
      </w:pPr>
      <w:r>
        <w:t xml:space="preserve">● Предотвращать образование пыли.</w:t>
      </w:r>
    </w:p>
    <w:p>
      <w:pPr>
        <w:spacing w:after="0"/>
      </w:pPr>
      <w:r>
        <w:t xml:space="preserve">● Использовать подходящую защитную одежду, перчатки и защиту глаз/лица.</w:t>
      </w:r>
    </w:p>
    <w:p>
      <w:pPr>
        <w:spacing w:after="0"/>
      </w:pPr>
      <w:r>
        <w:t xml:space="preserve">● Избегать контакта с глазами и кожей.</w:t>
      </w:r>
    </w:p>
    <w:p>
      <w:pPr>
        <w:spacing w:after="0"/>
      </w:pPr>
      <w:r>
        <w:t xml:space="preserve">● Хранить вдали от пищевых продуктов, напитков и корма для животных.</w:t>
      </w:r>
    </w:p>
    <w:p>
      <w:pPr>
        <w:spacing w:after="0"/>
      </w:pPr>
      <w:r>
        <w:t xml:space="preserve">● Немедленно промывать инструменты водой с мылом после использования.</w:t>
      </w:r>
    </w:p>
    <w:p>
      <w:pPr>
        <w:spacing w:after="0"/>
      </w:pPr>
      <w:r>
        <w:t xml:space="preserve">● Мыть руки перед перерывами и по окончании работы.</w:t>
      </w:r>
    </w:p>
    <w:p>
      <w:pPr>
        <w:spacing w:after="60" w:before="120"/>
      </w:pPr>
      <w:r>
        <w:rPr>
          <w:b/>
          <w:bCs/>
        </w:rPr>
        <w:t xml:space="preserve">Информация по пожаро- и взрывобезопасности</w:t>
      </w:r>
    </w:p>
    <w:p>
      <w:pPr>
        <w:spacing w:after="80"/>
      </w:pPr>
      <w:r>
        <w:t xml:space="preserve">Особых мер не требуется.</w:t>
      </w:r>
    </w:p>
    <w:p>
      <w:pPr>
        <w:spacing w:after="60" w:before="120"/>
      </w:pPr>
      <w:r>
        <w:rPr>
          <w:b/>
          <w:bCs/>
        </w:rPr>
        <w:t xml:space="preserve">7.2 Условия безопасного хранения с учётом несовместимости</w:t>
      </w:r>
    </w:p>
    <w:p>
      <w:pPr>
        <w:spacing w:after="60" w:before="120"/>
      </w:pPr>
      <w:r>
        <w:rPr>
          <w:b/>
          <w:bCs/>
        </w:rPr>
        <w:t xml:space="preserve">Требования к складским помещениям и ёмкостям</w:t>
      </w:r>
    </w:p>
    <w:p>
      <w:pPr>
        <w:spacing w:after="80"/>
      </w:pPr>
      <w:r>
        <w:t xml:space="preserve">Особых требований нет.</w:t>
      </w:r>
    </w:p>
    <w:p>
      <w:pPr>
        <w:spacing w:after="60" w:before="120"/>
      </w:pPr>
      <w:r>
        <w:rPr>
          <w:b/>
          <w:bCs/>
        </w:rPr>
        <w:t xml:space="preserve">Информация о совместном хранении</w:t>
      </w:r>
    </w:p>
    <w:p>
      <w:pPr>
        <w:spacing w:after="80"/>
      </w:pPr>
      <w:r>
        <w:t xml:space="preserve">Не требуется.</w:t>
      </w:r>
    </w:p>
    <w:p>
      <w:pPr>
        <w:spacing w:after="60" w:before="120"/>
      </w:pPr>
      <w:r>
        <w:rPr>
          <w:b/>
          <w:bCs/>
        </w:rPr>
        <w:t xml:space="preserve">Дополнительная информация об условиях хранения</w:t>
      </w:r>
    </w:p>
    <w:p>
      <w:pPr>
        <w:spacing w:after="80"/>
      </w:pPr>
      <w:r>
        <w:t xml:space="preserve">Хранить в сухих условиях.</w:t>
      </w:r>
    </w:p>
    <w:p>
      <w:pPr>
        <w:spacing w:after="80"/>
      </w:pPr>
      <w:r>
        <w:t xml:space="preserve">Беречь от влаги и воды.</w:t>
      </w:r>
    </w:p>
    <w:p>
      <w:pPr>
        <w:spacing w:after="60" w:before="120"/>
      </w:pPr>
      <w:r>
        <w:rPr>
          <w:b/>
          <w:bCs/>
        </w:rPr>
        <w:t xml:space="preserve">7.3 Особые конечные применения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8: Контроль воздействия/средства индивидуальной защиты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8.1 Параметры контроля</w:t>
      </w:r>
    </w:p>
    <w:p>
      <w:pPr>
        <w:spacing w:after="60" w:before="120"/>
      </w:pPr>
      <w:r>
        <w:rPr>
          <w:b/>
          <w:bCs/>
        </w:rPr>
        <w:t xml:space="preserve">Компоненты с предельными значениями, подлежащими контролю на рабочем месте</w:t>
      </w:r>
    </w:p>
    <w:tbl>
      <w:tblPr>
        <w:tblW w:type="pct" w:w="100%"/>
        <w:tblBorders>
          <w:top w:val="single" w:color="8EA9DB" w:sz="4"/>
          <w:left w:val="single" w:color="8EA9DB" w:sz="4"/>
          <w:bottom w:val="single" w:color="8EA9DB" w:sz="4"/>
          <w:right w:val="single" w:color="8EA9DB" w:sz="4"/>
          <w:insideH w:val="single" w:color="8EA9DB" w:sz="4"/>
          <w:insideV w:val="single" w:color="8EA9DB" w:sz="4"/>
        </w:tblBorders>
      </w:tblPr>
      <w:tblGrid>
        <w:gridCol w:w="100"/>
        <w:gridCol w:w="100"/>
        <w:gridCol w:w="100"/>
      </w:tblGrid>
      <w:tr>
        <w:tc>
          <w:tcPr>
            <w:shd w:fill="D9E2F3"/>
          </w:tcPr>
          <w:p>
            <w:r>
              <w:rPr>
                <w:b/>
                <w:bCs/>
              </w:rPr>
              <w:t xml:space="preserve">CAS</w:t>
            </w:r>
          </w:p>
        </w:tc>
        <w:tc>
          <w:tcPr>
            <w:shd w:fill="D9E2F3"/>
          </w:tcPr>
          <w:p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shd w:fill="D9E2F3"/>
          </w:tcPr>
          <w:p>
            <w:r>
              <w:rPr>
                <w:b/>
                <w:bCs/>
              </w:rPr>
              <w:t xml:space="preserve">WEL</w:t>
            </w:r>
          </w:p>
        </w:tc>
      </w:tr>
      <w:tr>
        <w:tc>
          <w:p>
            <w:r>
              <w:t xml:space="preserve">65997-15-1</w:t>
            </w:r>
          </w:p>
        </w:tc>
        <w:tc>
          <w:p>
            <w:r>
              <w:t xml:space="preserve">Портландцемент</w:t>
            </w:r>
          </w:p>
        </w:tc>
        <w:tc>
          <w:p>
            <w:r>
              <w:t xml:space="preserve">Долговременное значение: 10* / 4** мг/м³
*вдыхаемая пыль **респирабельная пыль</w:t>
            </w:r>
          </w:p>
        </w:tc>
      </w:tr>
    </w:tbl>
    <w:p>
      <w:pPr>
        <w:spacing w:after="60" w:before="120"/>
      </w:pPr>
      <w:r>
        <w:rPr>
          <w:b/>
          <w:bCs/>
        </w:rPr>
        <w:t xml:space="preserve">8.2 Контроль воздействия</w:t>
      </w:r>
    </w:p>
    <w:p>
      <w:pPr>
        <w:spacing w:after="60" w:before="120"/>
      </w:pPr>
      <w:r>
        <w:rPr>
          <w:b/>
          <w:bCs/>
        </w:rPr>
        <w:t xml:space="preserve">Соответствующие технические меры контроля</w:t>
      </w:r>
    </w:p>
    <w:p>
      <w:pPr>
        <w:spacing w:after="80"/>
      </w:pPr>
      <w:r>
        <w:t xml:space="preserve">Дополнительных данных нет; см. раздел 7.</w:t>
      </w:r>
    </w:p>
    <w:p>
      <w:pPr>
        <w:spacing w:after="60" w:before="120"/>
      </w:pPr>
      <w:r>
        <w:rPr>
          <w:b/>
          <w:bCs/>
        </w:rPr>
        <w:t xml:space="preserve">Индивидуальные меры защиты, включая средства индивидуальной защиты</w:t>
      </w:r>
    </w:p>
    <w:p>
      <w:pPr>
        <w:spacing w:after="60" w:before="120"/>
      </w:pPr>
      <w:r>
        <w:rPr>
          <w:b/>
          <w:bCs/>
        </w:rPr>
        <w:t xml:space="preserve">Общие защитные и гигиенические меры</w:t>
      </w:r>
    </w:p>
    <w:p>
      <w:pPr>
        <w:spacing w:after="0"/>
      </w:pPr>
      <w:r>
        <w:t xml:space="preserve">● Предотвращать образование пыли.</w:t>
      </w:r>
    </w:p>
    <w:p>
      <w:pPr>
        <w:spacing w:after="0"/>
      </w:pPr>
      <w:r>
        <w:t xml:space="preserve">● Избегать контакта с глазами и кожей.</w:t>
      </w:r>
    </w:p>
    <w:p>
      <w:pPr>
        <w:spacing w:after="0"/>
      </w:pPr>
      <w:r>
        <w:t xml:space="preserve">● Использовать подходящую защитную одежду, перчатки и защиту глаз/лица.</w:t>
      </w:r>
    </w:p>
    <w:p>
      <w:pPr>
        <w:spacing w:after="0"/>
      </w:pPr>
      <w:r>
        <w:t xml:space="preserve">● Хранить вдали от пищевых продуктов, напитков и корма для животных.</w:t>
      </w:r>
    </w:p>
    <w:p>
      <w:pPr>
        <w:spacing w:after="0"/>
      </w:pPr>
      <w:r>
        <w:t xml:space="preserve">● Не есть, не пить, не курить и не нюхать табак во время работы.</w:t>
      </w:r>
    </w:p>
    <w:p>
      <w:pPr>
        <w:spacing w:after="0"/>
      </w:pPr>
      <w:r>
        <w:t xml:space="preserve">● Мыть руки перед перерывами и по окончании работы.</w:t>
      </w:r>
    </w:p>
    <w:p>
      <w:pPr>
        <w:spacing w:after="60" w:before="120"/>
      </w:pPr>
      <w:r>
        <w:rPr>
          <w:b/>
          <w:bCs/>
        </w:rPr>
        <w:t xml:space="preserve">Защита органов дыхания</w:t>
      </w:r>
    </w:p>
    <w:p>
      <w:pPr>
        <w:spacing w:after="80"/>
      </w:pPr>
      <w:r>
        <w:t xml:space="preserve">Не требуется. При смешивании использовать подходящую пылезащитную маску. Необходимо обеспечить тщательную вентиляцию во время и после укладки и высыхания продукта.</w:t>
      </w:r>
    </w:p>
    <w:p>
      <w:pPr>
        <w:spacing w:after="60" w:before="120"/>
      </w:pPr>
      <w:r>
        <w:rPr>
          <w:b/>
          <w:bCs/>
        </w:rPr>
        <w:t xml:space="preserve">Защита рук</w:t>
      </w:r>
    </w:p>
    <w:p>
      <w:pPr>
        <w:spacing w:after="80"/>
      </w:pPr>
      <w:r>
        <w:t xml:space="preserve">Использовать хлопковые перчатки с нитриловой пропиткой (EN 374).</w:t>
      </w:r>
    </w:p>
    <w:p>
      <w:pPr>
        <w:spacing w:after="60" w:before="120"/>
      </w:pPr>
      <w:r>
        <w:rPr>
          <w:b/>
          <w:bCs/>
        </w:rPr>
        <w:t xml:space="preserve">Материал перчаток</w:t>
      </w:r>
    </w:p>
    <w:p>
      <w:pPr>
        <w:spacing w:after="80"/>
      </w:pPr>
      <w:r>
        <w:t xml:space="preserve">Хлопковые перчатки с нитриловой пропиткой.</w:t>
      </w:r>
    </w:p>
    <w:p>
      <w:pPr>
        <w:spacing w:after="60" w:before="120"/>
      </w:pPr>
      <w:r>
        <w:rPr>
          <w:b/>
          <w:bCs/>
        </w:rPr>
        <w:t xml:space="preserve">Время проникновения материала перчаток</w:t>
      </w:r>
    </w:p>
    <w:p>
      <w:pPr>
        <w:spacing w:after="80"/>
      </w:pPr>
      <w:r>
        <w:t xml:space="preserve">Точное время прорыва должно быть установлено производителем защитных перчаток и соблюдаться.</w:t>
      </w:r>
    </w:p>
    <w:p>
      <w:pPr>
        <w:spacing w:after="60" w:before="120"/>
      </w:pPr>
      <w:r>
        <w:rPr>
          <w:b/>
          <w:bCs/>
        </w:rPr>
        <w:t xml:space="preserve">Защита глаз/лица</w:t>
      </w:r>
    </w:p>
    <w:p>
      <w:pPr>
        <w:spacing w:after="80"/>
      </w:pPr>
      <w:r>
        <w:t xml:space="preserve">Защитные очки (EN 166).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9: Физические и химические свойства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9.1 Сведения об основных физических и химических свойствах</w:t>
      </w:r>
    </w:p>
    <w:p>
      <w:pPr>
        <w:spacing w:after="60" w:before="120"/>
      </w:pPr>
      <w:r>
        <w:rPr>
          <w:b/>
          <w:bCs/>
        </w:rPr>
        <w:t xml:space="preserve">Общая информация</w:t>
      </w:r>
    </w:p>
    <w:p>
      <w:pPr>
        <w:spacing w:after="80"/>
      </w:pPr>
      <w:r>
        <w:t xml:space="preserve">Агрегатное состояние: твёрдое</w:t>
      </w:r>
    </w:p>
    <w:p>
      <w:pPr>
        <w:spacing w:after="80"/>
      </w:pPr>
      <w:r>
        <w:t xml:space="preserve">Цвет: серый</w:t>
      </w:r>
    </w:p>
    <w:p>
      <w:pPr>
        <w:spacing w:after="80"/>
      </w:pPr>
      <w:r>
        <w:t xml:space="preserve">Запах: слабый</w:t>
      </w:r>
    </w:p>
    <w:p>
      <w:pPr>
        <w:spacing w:after="80"/>
      </w:pPr>
      <w:r>
        <w:t xml:space="preserve">Порог восприятия запаха: не определён.</w:t>
      </w:r>
    </w:p>
    <w:p>
      <w:pPr>
        <w:spacing w:after="80"/>
      </w:pPr>
      <w:r>
        <w:t xml:space="preserve">Точка плавления/замерзания: не определена.</w:t>
      </w:r>
    </w:p>
    <w:p>
      <w:pPr>
        <w:spacing w:after="80"/>
      </w:pPr>
      <w:r>
        <w:t xml:space="preserve">Точка кипения или начальная точка кипения и диапазон кипения: не определены.</w:t>
      </w:r>
    </w:p>
    <w:p>
      <w:pPr>
        <w:spacing w:after="80"/>
      </w:pPr>
      <w:r>
        <w:t xml:space="preserve">Воспламеняемость: не определена.</w:t>
      </w:r>
    </w:p>
    <w:p>
      <w:pPr>
        <w:spacing w:after="80"/>
      </w:pPr>
      <w:r>
        <w:t xml:space="preserve">Нижний и верхний пределы взрываемости: не определены.</w:t>
      </w:r>
    </w:p>
    <w:p>
      <w:pPr>
        <w:spacing w:after="80"/>
      </w:pPr>
      <w:r>
        <w:t xml:space="preserve">Температура вспышки: не применимо.</w:t>
      </w:r>
    </w:p>
    <w:p>
      <w:pPr>
        <w:spacing w:after="80"/>
      </w:pPr>
      <w:r>
        <w:t xml:space="preserve">Температура разложения: не определена.</w:t>
      </w:r>
    </w:p>
    <w:p>
      <w:pPr>
        <w:spacing w:after="80"/>
      </w:pPr>
      <w:r>
        <w:t xml:space="preserve">pH при 20 °C: ~11</w:t>
      </w:r>
    </w:p>
    <w:p>
      <w:pPr>
        <w:spacing w:after="80"/>
      </w:pPr>
      <w:r>
        <w:t xml:space="preserve">Вязкость (кинематическая/динамическая): не применимо.</w:t>
      </w:r>
    </w:p>
    <w:p>
      <w:pPr>
        <w:spacing w:after="60" w:before="120"/>
      </w:pPr>
      <w:r>
        <w:rPr>
          <w:b/>
          <w:bCs/>
        </w:rPr>
        <w:t xml:space="preserve">Растворимость</w:t>
      </w:r>
    </w:p>
    <w:p>
      <w:pPr>
        <w:spacing w:after="80"/>
      </w:pPr>
      <w:r>
        <w:t xml:space="preserve">Вода: нерастворим. Схватывается с водой.</w:t>
      </w:r>
    </w:p>
    <w:p>
      <w:pPr>
        <w:spacing w:after="80"/>
      </w:pPr>
      <w:r>
        <w:t xml:space="preserve">Коэффициент распределения н-октанол/вода (log-значение): не определён.</w:t>
      </w:r>
    </w:p>
    <w:p>
      <w:pPr>
        <w:spacing w:after="80"/>
      </w:pPr>
      <w:r>
        <w:t xml:space="preserve">Давление паров: не применимо.</w:t>
      </w:r>
    </w:p>
    <w:p>
      <w:pPr>
        <w:spacing w:after="80"/>
      </w:pPr>
      <w:r>
        <w:t xml:space="preserve">Плотность и/или относительная плотность: не определена.</w:t>
      </w:r>
    </w:p>
    <w:p>
      <w:pPr>
        <w:spacing w:after="80"/>
      </w:pPr>
      <w:r>
        <w:t xml:space="preserve">Плотность паров: не применимо.</w:t>
      </w:r>
    </w:p>
    <w:p>
      <w:pPr>
        <w:spacing w:after="80"/>
      </w:pPr>
      <w:r>
        <w:t xml:space="preserve">Характеристики частиц: см. раздел 3.</w:t>
      </w:r>
    </w:p>
    <w:p>
      <w:pPr>
        <w:spacing w:after="60" w:before="120"/>
      </w:pPr>
      <w:r>
        <w:rPr>
          <w:b/>
          <w:bCs/>
        </w:rPr>
        <w:t xml:space="preserve">9.2 Прочая информация</w:t>
      </w:r>
    </w:p>
    <w:p>
      <w:pPr>
        <w:spacing w:after="80"/>
      </w:pPr>
      <w:r>
        <w:t xml:space="preserve">Внешний вид/форма: твёрдое вещество.</w:t>
      </w:r>
    </w:p>
    <w:p>
      <w:pPr>
        <w:spacing w:after="80"/>
      </w:pPr>
      <w:r>
        <w:t xml:space="preserve">Температура воспламенения: продукт не является самовоспламеняющимся.</w:t>
      </w:r>
    </w:p>
    <w:p>
      <w:pPr>
        <w:spacing w:after="80"/>
      </w:pPr>
      <w:r>
        <w:t xml:space="preserve">Взрывоопасные свойства: продукт не представляет взрывоопасности.</w:t>
      </w:r>
    </w:p>
    <w:p>
      <w:pPr>
        <w:spacing w:after="80"/>
      </w:pPr>
      <w:r>
        <w:t xml:space="preserve">Скорость испарения: не применимо.</w:t>
      </w:r>
    </w:p>
    <w:p>
      <w:pPr>
        <w:spacing w:after="60" w:before="120"/>
      </w:pPr>
      <w:r>
        <w:rPr>
          <w:b/>
          <w:bCs/>
        </w:rPr>
        <w:t xml:space="preserve">Информация в отношении классов физической опасности</w:t>
      </w:r>
    </w:p>
    <w:p>
      <w:pPr>
        <w:spacing w:after="80"/>
      </w:pPr>
      <w:r>
        <w:t xml:space="preserve">Взрывчатые вещества — Void; горючие газы — Void; аэрозоли — Void; окисляющие газы — Void; газы под давлением — Void; легковоспламеняющиеся жидкости — Void; легковоспламеняющиеся твёрдые вещества — Void; саморазлагающиеся вещества и смеси — Void; пирофорные жидкости — Void; пирофорные твёрдые вещества — Void; самонагревающиеся вещества и смеси — Void; вещества и смеси, выделяющие легковоспламеняющиеся газы при контакте с водой — Void; окисляющие жидкости — Void; окисляющие твёрдые вещества — Void; органические пероксиды — Void; коррозионное воздействие на металлы — Void; десенсибилизированные взрывчатые вещества — Void.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10: Стабильность и реакционная способность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10.1 Реакционная способность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10.2 Химическая стабильность</w:t>
      </w:r>
    </w:p>
    <w:p>
      <w:pPr>
        <w:spacing w:after="80"/>
      </w:pPr>
      <w:r>
        <w:t xml:space="preserve">Стабильно в нормальных условиях.</w:t>
      </w:r>
    </w:p>
    <w:p>
      <w:pPr>
        <w:spacing w:after="80"/>
      </w:pPr>
      <w:r>
        <w:t xml:space="preserve">Термическое разложение/условия, которых следует избегать: разложения не происходит при использовании по назначению.</w:t>
      </w:r>
    </w:p>
    <w:p>
      <w:pPr>
        <w:spacing w:after="60" w:before="120"/>
      </w:pPr>
      <w:r>
        <w:rPr>
          <w:b/>
          <w:bCs/>
        </w:rPr>
        <w:t xml:space="preserve">10.3 Возможность опасных реакций</w:t>
      </w:r>
    </w:p>
    <w:p>
      <w:pPr>
        <w:spacing w:after="80"/>
      </w:pPr>
      <w:r>
        <w:t xml:space="preserve">Опасных реакций не выявлено.</w:t>
      </w:r>
    </w:p>
    <w:p>
      <w:pPr>
        <w:spacing w:after="60" w:before="120"/>
      </w:pPr>
      <w:r>
        <w:rPr>
          <w:b/>
          <w:bCs/>
        </w:rPr>
        <w:t xml:space="preserve">10.4 Условия, которых следует избегать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10.5 Несовместимые материалы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10.6 Опасные продукты разложения</w:t>
      </w:r>
    </w:p>
    <w:p>
      <w:pPr>
        <w:spacing w:after="80"/>
      </w:pPr>
      <w:r>
        <w:t xml:space="preserve">Опасные продукты разложения неизвестны.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11: Токсикологическая информация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11.1 Сведения о классах опасности согласно Регламенту (ЕС) № 1272/2008</w:t>
      </w:r>
    </w:p>
    <w:p>
      <w:pPr>
        <w:spacing w:after="60" w:before="120"/>
      </w:pPr>
      <w:r>
        <w:rPr>
          <w:b/>
          <w:bCs/>
        </w:rPr>
        <w:t xml:space="preserve">Острая токсичность</w:t>
      </w:r>
    </w:p>
    <w:p>
      <w:pPr>
        <w:spacing w:after="80"/>
      </w:pPr>
      <w:r>
        <w:t xml:space="preserve">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Первичное раздражающее действие</w:t>
      </w:r>
    </w:p>
    <w:p>
      <w:pPr>
        <w:spacing w:after="80"/>
      </w:pPr>
      <w:r>
        <w:t xml:space="preserve">Разъедание/раздражение кожи: вызывает раздражение кожи.</w:t>
      </w:r>
    </w:p>
    <w:p>
      <w:pPr>
        <w:spacing w:after="80"/>
      </w:pPr>
      <w:r>
        <w:t xml:space="preserve">Серьёзное повреждение/раздражение глаз: вызывает серьёзное повреждение глаз.</w:t>
      </w:r>
    </w:p>
    <w:p>
      <w:pPr>
        <w:spacing w:after="60" w:before="120"/>
      </w:pPr>
      <w:r>
        <w:rPr>
          <w:b/>
          <w:bCs/>
        </w:rPr>
        <w:t xml:space="preserve">Сенсибилизация дыхательных путей или кожи</w:t>
      </w:r>
    </w:p>
    <w:p>
      <w:pPr>
        <w:spacing w:after="80"/>
      </w:pPr>
      <w:r>
        <w:t xml:space="preserve">Сенсибилизирующее действие не выявлено. Низкое содержание хроматов (&lt; 2 ppm) согласно Регламенту (ЕС) № 1907/2006 (UK REACH, приложение XVII, п. 47). 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Мутагенность зародышевых клеток</w:t>
      </w:r>
    </w:p>
    <w:p>
      <w:pPr>
        <w:spacing w:after="80"/>
      </w:pPr>
      <w:r>
        <w:t xml:space="preserve">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Канцерогенность</w:t>
      </w:r>
    </w:p>
    <w:p>
      <w:pPr>
        <w:spacing w:after="80"/>
      </w:pPr>
      <w:r>
        <w:t xml:space="preserve">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Репродуктивная токсичность</w:t>
      </w:r>
    </w:p>
    <w:p>
      <w:pPr>
        <w:spacing w:after="80"/>
      </w:pPr>
      <w:r>
        <w:t xml:space="preserve">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Специфическая токсичность на органы-мишени (однократное воздействие)</w:t>
      </w:r>
    </w:p>
    <w:p>
      <w:pPr>
        <w:spacing w:after="80"/>
      </w:pPr>
      <w:r>
        <w:t xml:space="preserve">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Специфическая токсичность на органы-мишени (повторное воздействие)</w:t>
      </w:r>
    </w:p>
    <w:p>
      <w:pPr>
        <w:spacing w:after="80"/>
      </w:pPr>
      <w:r>
        <w:t xml:space="preserve">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Опасность при аспирации</w:t>
      </w:r>
    </w:p>
    <w:p>
      <w:pPr>
        <w:spacing w:after="80"/>
      </w:pPr>
      <w:r>
        <w:t xml:space="preserve">По имеющимся данным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11.2 Информация о прочих опасностях</w:t>
      </w:r>
    </w:p>
    <w:p>
      <w:pPr>
        <w:spacing w:after="60" w:before="120"/>
      </w:pPr>
      <w:r>
        <w:rPr>
          <w:b/>
          <w:bCs/>
        </w:rPr>
        <w:t xml:space="preserve">Свойства эндокринных разрушителей</w:t>
      </w:r>
    </w:p>
    <w:p>
      <w:pPr>
        <w:spacing w:after="80"/>
      </w:pPr>
      <w:r>
        <w:t xml:space="preserve">Ни один из компонентов не включён в соответствующие перечни.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12: Экологическая информация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12.1 Токсичность</w:t>
      </w:r>
    </w:p>
    <w:p>
      <w:pPr>
        <w:spacing w:after="60" w:before="120"/>
      </w:pPr>
      <w:r>
        <w:rPr>
          <w:b/>
          <w:bCs/>
        </w:rPr>
        <w:t xml:space="preserve">Токсичность для водных организмов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12.2 Стойкость и способность к разложению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12.3 Биоаккумулятивный потенциал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12.4 Подвижность в почве</w:t>
      </w:r>
    </w:p>
    <w:p>
      <w:pPr>
        <w:spacing w:after="80"/>
      </w:pP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12.5 Результаты оценки на СБТ и оСБсБ</w:t>
      </w:r>
    </w:p>
    <w:p>
      <w:pPr>
        <w:spacing w:after="80"/>
      </w:pPr>
      <w:r>
        <w:t xml:space="preserve">СБТ: данное вещество/смесь не содержит компонентов, которые могут считаться стойкими, биоаккумулятивными и токсичными (СБТ).</w:t>
      </w:r>
    </w:p>
    <w:p>
      <w:pPr>
        <w:spacing w:after="80"/>
      </w:pPr>
      <w:r>
        <w:t xml:space="preserve">оСБсБ: данное вещество/смесь не содержит компонентов, которые могут считаться очень стойкими и очень биоаккумулятивными (оСБсБ) при концентрациях 0,1 %.</w:t>
      </w:r>
    </w:p>
    <w:p>
      <w:pPr>
        <w:spacing w:after="60" w:before="120"/>
      </w:pPr>
      <w:r>
        <w:rPr>
          <w:b/>
          <w:bCs/>
        </w:rPr>
        <w:t xml:space="preserve">12.6 Свойства эндокринных разрушителей</w:t>
      </w:r>
    </w:p>
    <w:p>
      <w:pPr>
        <w:spacing w:after="80"/>
      </w:pPr>
      <w:r>
        <w:t xml:space="preserve">Продукт не содержит веществ со свойствами эндокринных разрушителей.</w:t>
      </w:r>
    </w:p>
    <w:p>
      <w:pPr>
        <w:spacing w:after="60" w:before="120"/>
      </w:pPr>
      <w:r>
        <w:rPr>
          <w:b/>
          <w:bCs/>
        </w:rPr>
        <w:t xml:space="preserve">12.7 Прочие неблагоприятные эффекты</w:t>
      </w:r>
    </w:p>
    <w:p>
      <w:pPr>
        <w:spacing w:after="60" w:before="120"/>
      </w:pPr>
      <w:r>
        <w:rPr>
          <w:b/>
          <w:bCs/>
        </w:rPr>
        <w:t xml:space="preserve">Общие указания</w:t>
      </w:r>
    </w:p>
    <w:p>
      <w:pPr>
        <w:spacing w:after="80"/>
      </w:pPr>
      <w:r>
        <w:t xml:space="preserve">Не допускать попадания продукта в грунтовые воды, водоёмы или канализацию.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13: Рекомендации по утилизации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13.1 Методы обращения с отходами</w:t>
      </w:r>
    </w:p>
    <w:p>
      <w:pPr>
        <w:spacing w:after="60" w:before="120"/>
      </w:pPr>
      <w:r>
        <w:rPr>
          <w:b/>
          <w:bCs/>
        </w:rPr>
        <w:t xml:space="preserve">Рекомендация</w:t>
      </w:r>
    </w:p>
    <w:p>
      <w:pPr>
        <w:spacing w:after="80"/>
      </w:pPr>
      <w:r>
        <w:t xml:space="preserve">Не допускать попадания продукта в канализацию. Смешать остатки продукта с водой, дать затвердеть, затем утилизировать как строительные отходы.</w:t>
      </w:r>
    </w:p>
    <w:p>
      <w:pPr>
        <w:spacing w:after="60" w:before="120"/>
      </w:pPr>
      <w:r>
        <w:rPr>
          <w:b/>
          <w:bCs/>
        </w:rPr>
        <w:t xml:space="preserve">Загрязнённая упаковка</w:t>
      </w:r>
    </w:p>
    <w:p>
      <w:pPr>
        <w:spacing w:after="60" w:before="120"/>
      </w:pPr>
      <w:r>
        <w:rPr>
          <w:b/>
          <w:bCs/>
        </w:rPr>
        <w:t xml:space="preserve">Рекомендация</w:t>
      </w:r>
    </w:p>
    <w:p>
      <w:pPr>
        <w:spacing w:after="80"/>
      </w:pPr>
      <w:r>
        <w:t xml:space="preserve">Пустая бумажная упаковка подлежит переработке.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14: Транспортная информация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14.1 Номер ООН или идентификационный номер</w:t>
      </w:r>
    </w:p>
    <w:p>
      <w:pPr>
        <w:spacing w:after="80"/>
      </w:pPr>
      <w:r>
        <w:t xml:space="preserve">ADR, ADN, IMDG, IATA: Void</w:t>
      </w:r>
    </w:p>
    <w:p>
      <w:pPr>
        <w:spacing w:after="60" w:before="120"/>
      </w:pPr>
      <w:r>
        <w:rPr>
          <w:b/>
          <w:bCs/>
        </w:rPr>
        <w:t xml:space="preserve">14.2 Надлежащее отгрузочное наименование ООН</w:t>
      </w:r>
    </w:p>
    <w:p>
      <w:pPr>
        <w:spacing w:after="80"/>
      </w:pPr>
      <w:r>
        <w:t xml:space="preserve">ADR, ADN, IMDG, IATA: Void</w:t>
      </w:r>
    </w:p>
    <w:p>
      <w:pPr>
        <w:spacing w:after="60" w:before="120"/>
      </w:pPr>
      <w:r>
        <w:rPr>
          <w:b/>
          <w:bCs/>
        </w:rPr>
        <w:t xml:space="preserve">14.3 Класс(-ы) опасности при транспортировке</w:t>
      </w:r>
    </w:p>
    <w:p>
      <w:pPr>
        <w:spacing w:after="80"/>
      </w:pPr>
      <w:r>
        <w:t xml:space="preserve">ADR, ADN, IMDG, IATA — класс: Void</w:t>
      </w:r>
    </w:p>
    <w:p>
      <w:pPr>
        <w:spacing w:after="60" w:before="120"/>
      </w:pPr>
      <w:r>
        <w:rPr>
          <w:b/>
          <w:bCs/>
        </w:rPr>
        <w:t xml:space="preserve">14.4 Группа упаковки</w:t>
      </w:r>
    </w:p>
    <w:p>
      <w:pPr>
        <w:spacing w:after="80"/>
      </w:pPr>
      <w:r>
        <w:t xml:space="preserve">ADR, IMDG, IATA: Void</w:t>
      </w:r>
    </w:p>
    <w:p>
      <w:pPr>
        <w:spacing w:after="60" w:before="120"/>
      </w:pPr>
      <w:r>
        <w:rPr>
          <w:b/>
          <w:bCs/>
        </w:rPr>
        <w:t xml:space="preserve">14.5 Опасность для окружающей среды</w:t>
      </w:r>
    </w:p>
    <w:p>
      <w:pPr>
        <w:spacing w:after="80"/>
      </w:pPr>
      <w:r>
        <w:t xml:space="preserve">Загрязнитель морской среды: нет.</w:t>
      </w:r>
    </w:p>
    <w:p>
      <w:pPr>
        <w:spacing w:after="60" w:before="120"/>
      </w:pPr>
      <w:r>
        <w:rPr>
          <w:b/>
          <w:bCs/>
        </w:rPr>
        <w:t xml:space="preserve">14.6 Особые меры предосторожности для пользователя</w:t>
      </w:r>
    </w:p>
    <w:p>
      <w:pPr>
        <w:spacing w:after="80"/>
      </w:pPr>
      <w:r>
        <w:t xml:space="preserve">Не применимо.</w:t>
      </w:r>
    </w:p>
    <w:p>
      <w:pPr>
        <w:spacing w:after="60" w:before="120"/>
      </w:pPr>
      <w:r>
        <w:rPr>
          <w:b/>
          <w:bCs/>
        </w:rPr>
        <w:t xml:space="preserve">14.7 Морская перевозка навалом согласно документам ИМО</w:t>
      </w:r>
    </w:p>
    <w:p>
      <w:pPr>
        <w:spacing w:after="80"/>
      </w:pPr>
      <w:r>
        <w:t xml:space="preserve">Не применимо.</w:t>
      </w:r>
    </w:p>
    <w:p>
      <w:pPr>
        <w:spacing w:after="60" w:before="120"/>
      </w:pPr>
      <w:r>
        <w:rPr>
          <w:b/>
          <w:bCs/>
        </w:rPr>
        <w:t xml:space="preserve">Транспортировка/Дополнительная информация</w:t>
      </w:r>
    </w:p>
    <w:p>
      <w:pPr>
        <w:spacing w:after="80"/>
      </w:pPr>
      <w:r>
        <w:t xml:space="preserve">Не является опасным согласно указанным характеристикам.</w:t>
      </w:r>
    </w:p>
    <w:p>
      <w:pPr>
        <w:spacing w:after="60" w:before="120"/>
      </w:pPr>
      <w:r>
        <w:rPr>
          <w:b/>
          <w:bCs/>
        </w:rPr>
        <w:t xml:space="preserve">Типовые правила ООН</w:t>
      </w:r>
    </w:p>
    <w:p>
      <w:pPr>
        <w:spacing w:after="80"/>
      </w:pPr>
      <w:r>
        <w:t xml:space="preserve">Void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15: Нормативная информация</w:t>
            </w:r>
          </w:p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15.1 Правила техники безопасности, охраны здоровья и окружающей среды/законодательство, специфичное для вещества или смеси</w:t>
      </w:r>
    </w:p>
    <w:p>
      <w:pPr>
        <w:spacing w:after="60" w:before="120"/>
      </w:pPr>
      <w:r>
        <w:rPr>
          <w:b/>
          <w:bCs/>
        </w:rPr>
        <w:t xml:space="preserve">Закон о ядовитых веществах (Poisons Act)</w:t>
      </w:r>
    </w:p>
    <w:p>
      <w:pPr>
        <w:spacing w:after="80"/>
      </w:pPr>
      <w:r>
        <w:t xml:space="preserve">Регулируемые прекурсоры взрывчатых веществ: ни один из компонентов не включён в перечень.</w:t>
      </w:r>
    </w:p>
    <w:p>
      <w:pPr>
        <w:spacing w:after="80"/>
      </w:pPr>
      <w:r>
        <w:t xml:space="preserve">Регулируемые ядовитые вещества: ни один из компонентов не включён в перечень.</w:t>
      </w:r>
    </w:p>
    <w:p>
      <w:pPr>
        <w:spacing w:after="80"/>
      </w:pPr>
      <w:r>
        <w:t xml:space="preserve">Прекурсоры взрывчатых веществ, подлежащие отчётности: ни один из компонентов не включён в перечень.</w:t>
      </w:r>
    </w:p>
    <w:p>
      <w:pPr>
        <w:spacing w:after="80"/>
      </w:pPr>
      <w:r>
        <w:t xml:space="preserve">Ядовитые вещества, подлежащие отчётности: ни один из компонентов не включён в перечень.</w:t>
      </w:r>
    </w:p>
    <w:p>
      <w:pPr>
        <w:spacing w:after="60" w:before="120"/>
      </w:pPr>
      <w:r>
        <w:rPr>
          <w:b/>
          <w:bCs/>
        </w:rPr>
        <w:t xml:space="preserve">Директива 2012/18/ЕС</w:t>
      </w:r>
    </w:p>
    <w:p>
      <w:pPr>
        <w:spacing w:after="80"/>
      </w:pPr>
      <w:r>
        <w:t xml:space="preserve">Опасные вещества, поименованные в Приложении I: ни один из компонентов не включён в перечень.</w:t>
      </w:r>
    </w:p>
    <w:p>
      <w:pPr>
        <w:spacing w:after="60" w:before="120"/>
      </w:pPr>
      <w:r>
        <w:rPr>
          <w:b/>
          <w:bCs/>
        </w:rPr>
        <w:t xml:space="preserve">РЕГЛАМЕНТ (ЕС) № 1907/2006, ПРИЛОЖЕНИЕ XVII</w:t>
      </w:r>
    </w:p>
    <w:p>
      <w:pPr>
        <w:spacing w:after="80"/>
      </w:pPr>
      <w:r>
        <w:t xml:space="preserve">Низкое содержание хроматов (&lt; 2 ppm) согласно Регламенту (ЕС) № 1907/2006 (UK REACH, приложение XVII, п. 47).</w:t>
      </w:r>
    </w:p>
    <w:p>
      <w:pPr>
        <w:spacing w:after="60" w:before="120"/>
      </w:pPr>
      <w:r>
        <w:rPr>
          <w:b/>
          <w:bCs/>
        </w:rPr>
        <w:t xml:space="preserve">15.2 Оценка химической безопасности</w:t>
      </w:r>
    </w:p>
    <w:p>
      <w:pPr>
        <w:spacing w:after="80"/>
      </w:pPr>
      <w:r>
        <w:t xml:space="preserve">Оценка химической безопасности не проводилась.</w:t>
      </w:r>
    </w:p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F3864"/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16: Прочая информация</w:t>
            </w:r>
          </w:p>
        </w:tc>
      </w:tr>
    </w:tbl>
    <w:p>
      <w:pPr>
        <w:spacing w:after="80"/>
      </w:pPr>
    </w:p>
    <w:p>
      <w:pPr>
        <w:spacing w:after="80"/>
      </w:pPr>
      <w:r>
        <w:t xml:space="preserve">Данная информация основана на текущем уровне наших знаний. Однако она не является гарантией каких-либо конкретных свойств продукта и не создаёт юридически действительных договорных отношений.</w:t>
      </w:r>
    </w:p>
    <w:p>
      <w:pPr>
        <w:spacing w:after="80"/>
      </w:pPr>
      <w:r>
        <w:t xml:space="preserve">Настоящий паспорт безопасности соответствует Регламенту (ЕС) № 1907/2006, Статья 31, с изменениями, внесёнными Регламентом (ЕС) 2020/878.</w:t>
      </w:r>
    </w:p>
    <w:p>
      <w:pPr>
        <w:spacing w:after="60" w:before="120"/>
      </w:pPr>
      <w:r>
        <w:rPr>
          <w:b/>
          <w:bCs/>
        </w:rPr>
        <w:t xml:space="preserve">Соответствующие фразы</w:t>
      </w:r>
    </w:p>
    <w:p>
      <w:pPr>
        <w:spacing w:after="80"/>
      </w:pPr>
      <w:r>
        <w:t xml:space="preserve">H315 Вызывает раздражение кожи.</w:t>
      </w:r>
    </w:p>
    <w:p>
      <w:pPr>
        <w:spacing w:after="80"/>
      </w:pPr>
      <w:r>
        <w:t xml:space="preserve">H318 Вызывает серьёзное повреждение глаз.</w:t>
      </w:r>
    </w:p>
    <w:p>
      <w:pPr>
        <w:spacing w:after="80"/>
      </w:pPr>
      <w:r>
        <w:t xml:space="preserve">H335 Может вызывать раздражение дыхательных путей.</w:t>
      </w:r>
    </w:p>
    <w:p>
      <w:pPr>
        <w:spacing w:after="80"/>
      </w:pPr>
      <w:r>
        <w:rPr>
          <w:i/>
          <w:iCs/>
        </w:rPr>
        <w:t xml:space="preserve">Указанные классы опасности/фразы относятся к чистому веществу-компоненту, а не к готовому продукту в том виде, в котором он продаётся и используется — сам продукт классифицирован как опасный (Eye Dam. 1, H318; Skin Irrit. 2, H315), однако его классификация не включает H335, указанный для компонента в чистом виде (см. раздел 2.1).</w:t>
      </w:r>
    </w:p>
    <w:p>
      <w:pPr>
        <w:spacing w:after="60" w:before="120"/>
      </w:pPr>
      <w:r>
        <w:rPr>
          <w:b/>
          <w:bCs/>
        </w:rPr>
        <w:t xml:space="preserve">Рекомендуемое ограничение применения</w:t>
      </w:r>
    </w:p>
    <w:p>
      <w:pPr>
        <w:spacing w:after="80"/>
      </w:pPr>
      <w:r>
        <w:t xml:space="preserve">Только для профессионального использования.</w:t>
      </w:r>
    </w:p>
    <w:p>
      <w:pPr>
        <w:spacing w:after="60" w:before="120"/>
      </w:pPr>
      <w:r>
        <w:rPr>
          <w:b/>
          <w:bCs/>
        </w:rPr>
        <w:t xml:space="preserve">Классификация согласно Регламенту (ЕС) № 1272/2008</w:t>
      </w:r>
    </w:p>
    <w:p>
      <w:pPr>
        <w:spacing w:after="80"/>
      </w:pPr>
      <w:r>
        <w:t xml:space="preserve">Классификация смеси в целом основана на расчётном методе с использованием данных по веществам согласно Регламенту (ЕС) № 1272/2008.</w:t>
      </w:r>
    </w:p>
    <w:p>
      <w:pPr>
        <w:spacing w:after="60" w:before="120"/>
      </w:pPr>
      <w:r>
        <w:rPr>
          <w:b/>
          <w:bCs/>
        </w:rPr>
        <w:t xml:space="preserve">Отдел, выпустивший паспорт безопасности</w:t>
      </w:r>
    </w:p>
    <w:p>
      <w:pPr>
        <w:spacing w:after="80"/>
      </w:pPr>
      <w:r>
        <w:t xml:space="preserve">Отдел безопасности продукции.</w:t>
      </w:r>
    </w:p>
    <w:p>
      <w:pPr>
        <w:spacing w:after="60" w:before="120"/>
      </w:pPr>
      <w:r>
        <w:rPr>
          <w:b/>
          <w:bCs/>
        </w:rPr>
        <w:t xml:space="preserve">Контакт</w:t>
      </w:r>
    </w:p>
    <w:p>
      <w:pPr>
        <w:spacing w:after="80"/>
      </w:pPr>
      <w:r>
        <w:t xml:space="preserve">Отдел безопасности продукции. Телефон: +49 731 4097-0. E-mail: msds.info@uzin-utz.com</w:t>
      </w:r>
    </w:p>
    <w:p>
      <w:pPr>
        <w:spacing w:after="60" w:before="120"/>
      </w:pPr>
      <w:r>
        <w:rPr>
          <w:b/>
          <w:bCs/>
        </w:rPr>
        <w:t xml:space="preserve">Сокращения и акронимы</w:t>
      </w:r>
    </w:p>
    <w:p>
      <w:pPr>
        <w:spacing w:after="80"/>
      </w:pPr>
      <w:r>
        <w:t xml:space="preserve">RID — Правила международной перевозки опасных грузов по железным дорогам.</w:t>
      </w:r>
    </w:p>
    <w:p>
      <w:pPr>
        <w:spacing w:after="80"/>
      </w:pPr>
      <w:r>
        <w:t xml:space="preserve">ICAO — Международная организация гражданской авиации.</w:t>
      </w:r>
    </w:p>
    <w:p>
      <w:pPr>
        <w:spacing w:after="80"/>
      </w:pPr>
      <w:r>
        <w:t xml:space="preserve">ADR — Европейское соглашение о международной дорожной перевозке опасных грузов.</w:t>
      </w:r>
    </w:p>
    <w:p>
      <w:pPr>
        <w:spacing w:after="80"/>
      </w:pPr>
      <w:r>
        <w:t xml:space="preserve">IMDG — Международный морской кодекс по опасным грузам.</w:t>
      </w:r>
    </w:p>
    <w:p>
      <w:pPr>
        <w:spacing w:after="80"/>
      </w:pPr>
      <w:r>
        <w:t xml:space="preserve">IATA — Международная ассоциация воздушного транспорта.</w:t>
      </w:r>
    </w:p>
    <w:p>
      <w:pPr>
        <w:spacing w:after="80"/>
      </w:pPr>
      <w:r>
        <w:t xml:space="preserve">GHS — Согласованная на глобальном уровне система классификации и маркировки химических веществ.</w:t>
      </w:r>
    </w:p>
    <w:p>
      <w:pPr>
        <w:spacing w:after="80"/>
      </w:pPr>
      <w:r>
        <w:t xml:space="preserve">EINECS — Европейский реестр существующих коммерческих химических веществ.</w:t>
      </w:r>
    </w:p>
    <w:p>
      <w:pPr>
        <w:spacing w:after="80"/>
      </w:pPr>
      <w:r>
        <w:t xml:space="preserve">ELINCS — Европейский список зарегистрированных химических веществ.</w:t>
      </w:r>
    </w:p>
    <w:p>
      <w:pPr>
        <w:spacing w:after="80"/>
      </w:pPr>
      <w:r>
        <w:t xml:space="preserve">CAS — Служба реферирования химических веществ (подразделение Американского химического общества).</w:t>
      </w:r>
    </w:p>
    <w:p>
      <w:pPr>
        <w:spacing w:after="80"/>
      </w:pPr>
      <w:r>
        <w:t xml:space="preserve">PBT — СБТ (стойкое, биоаккумулятивное и токсичное вещество).</w:t>
      </w:r>
    </w:p>
    <w:p>
      <w:pPr>
        <w:spacing w:after="80"/>
      </w:pPr>
      <w:r>
        <w:t xml:space="preserve">vPvB — оСБсБ (очень стойкое и очень биоаккумулятивное вещество).</w:t>
      </w:r>
    </w:p>
    <w:p>
      <w:pPr>
        <w:spacing w:after="80"/>
      </w:pPr>
      <w:r>
        <w:t xml:space="preserve">Skin Irrit. 2 — разъедание/раздражение кожи, категория 2.</w:t>
      </w:r>
    </w:p>
    <w:p>
      <w:pPr>
        <w:spacing w:after="80"/>
      </w:pPr>
      <w:r>
        <w:t xml:space="preserve">Eye Dam. 1 — серьёзное повреждение/раздражение глаз, категория 1.</w:t>
      </w:r>
    </w:p>
    <w:p>
      <w:pPr>
        <w:spacing w:after="80"/>
      </w:pPr>
      <w:r>
        <w:t xml:space="preserve">STOT SE 3 — специфическая токсичность на органы-мишени (однократное воздействие), категория 3.</w:t>
      </w:r>
    </w:p>
    <w:p>
      <w:pPr>
        <w:spacing w:after="80"/>
      </w:pPr>
      <w:r>
        <w:t xml:space="preserve">* Данные изменены по сравнению с предыдущей версией.</w:t>
      </w:r>
    </w:p>
    <w:p>
      <w:pPr>
        <w:spacing w:after="16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2026-07-13T11:32:56.965Z</dcterms:created>
  <dcterms:modified xsi:type="dcterms:W3CDTF">2026-07-13T11:32:56.967Z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