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jc w:val="center"/>
      </w:pPr>
      <w:r>
        <w:rPr>
          <w:b/>
          <w:bCs/>
          <w:sz w:val="34"/>
          <w:szCs w:val="34"/>
        </w:rPr>
        <w:t xml:space="preserve">Паспорт безопасности</w:t>
      </w:r>
    </w:p>
    <w:p>
      <w:pPr>
        <w:spacing w:after="160"/>
        <w:jc w:val="center"/>
      </w:pPr>
      <w:r>
        <w:rPr>
          <w:i/>
          <w:iCs/>
          <w:sz w:val="20"/>
          <w:szCs w:val="20"/>
        </w:rPr>
        <w:t xml:space="preserve">согласно 1907/2006/EC, Статья 31</w:t>
      </w:r>
    </w:p>
    <w:p>
      <w:pPr>
        <w:pBdr>
          <w:bottom w:val="single" w:color="1F3864" w:sz="8" w:space="4"/>
        </w:pBdr>
        <w:spacing w:after="300"/>
        <w:jc w:val="center"/>
      </w:pPr>
      <w:r>
        <w:rPr>
          <w:b/>
          <w:bCs/>
          <w:sz w:val="26"/>
          <w:szCs w:val="26"/>
        </w:rPr>
        <w:t xml:space="preserve">SIPP-2K PU</w:t>
      </w:r>
    </w:p>
    <w:tbl>
      <w:tblPr>
        <w:tblW w:type="dxa" w:w="9906"/>
        <w:tblBorders>
          <w:top w:val="none"/>
          <w:left w:val="none"/>
          <w:bottom w:val="none"/>
          <w:right w:val="none"/>
          <w:insideH w:val="none"/>
          <w:insideV w:val="none"/>
        </w:tblBorders>
      </w:tblPr>
      <w:tblGrid>
        <w:gridCol w:w="9906"/>
      </w:tblGrid>
      <w:tr>
        <w:tc>
          <w:tcPr>
            <w:tcW w:type="dxa" w:w="9906"/>
            <w:shd w:fill="1F3864" w:color="auto" w:val="clear"/>
            <w:tcMar>
              <w:top w:type="dxa" w:w="100"/>
              <w:left w:type="dxa" w:w="150"/>
              <w:bottom w:type="dxa" w:w="100"/>
              <w:right w:type="dxa" w:w="150"/>
            </w:tcMar>
          </w:tcPr>
          <w:p>
            <w:pPr>
              <w:spacing w:after="0"/>
            </w:pPr>
            <w:r>
              <w:rPr>
                <w:b/>
                <w:bCs/>
                <w:color w:val="FFFFFF"/>
                <w:sz w:val="22"/>
                <w:szCs w:val="22"/>
              </w:rPr>
              <w:t xml:space="preserve">РАЗДЕЛ 1: ИДЕНТИФИКАЦИЯ ВЕЩЕСТВА/СМЕСИ И СВЕДЕНИЯ О КОМПАНИИ</w:t>
            </w:r>
          </w:p>
        </w:tc>
      </w:tr>
    </w:tbl>
    <w:p>
      <w:pPr>
        <w:spacing w:after="120"/>
      </w:pPr>
    </w:p>
    <w:p>
      <w:pPr>
        <w:spacing w:after="60" w:line="264"/>
      </w:pPr>
      <w:r>
        <w:rPr>
          <w:b/>
          <w:bCs/>
          <w:sz w:val="20"/>
          <w:szCs w:val="20"/>
        </w:rPr>
        <w:t xml:space="preserve">1.1 Идентификация химической продукции</w:t>
      </w:r>
    </w:p>
    <w:p>
      <w:pPr>
        <w:spacing w:after="60" w:line="264"/>
      </w:pPr>
      <w:r>
        <w:rPr>
          <w:b/>
          <w:bCs/>
          <w:sz w:val="20"/>
          <w:szCs w:val="20"/>
        </w:rPr>
        <w:t xml:space="preserve">Техническое наименование</w:t>
      </w:r>
    </w:p>
    <w:p>
      <w:pPr>
        <w:spacing w:after="100" w:line="264"/>
      </w:pPr>
      <w:r>
        <w:rPr>
          <w:sz w:val="20"/>
          <w:szCs w:val="20"/>
        </w:rPr>
        <w:t xml:space="preserve">Двухкомпонентный полиуретановый клей для различных видов паркета на впитывающие и не впитывающие влагу основания «SIPP-2K PU».</w:t>
      </w:r>
    </w:p>
    <w:p>
      <w:pPr>
        <w:spacing w:after="60" w:line="264"/>
      </w:pPr>
      <w:r>
        <w:rPr>
          <w:b/>
          <w:bCs/>
          <w:sz w:val="20"/>
          <w:szCs w:val="20"/>
        </w:rPr>
        <w:t xml:space="preserve">Краткие рекомендации по применению</w:t>
      </w:r>
    </w:p>
    <w:p>
      <w:pPr>
        <w:spacing w:after="100" w:line="264"/>
      </w:pPr>
      <w:r>
        <w:rPr>
          <w:sz w:val="20"/>
          <w:szCs w:val="20"/>
        </w:rPr>
        <w:t xml:space="preserve">Полиуретановый клей «SIPP-2K PU» применяется для получения прочных адгезионных слоёв между различными породами древесины как между собой, так и с бетоном.</w:t>
      </w:r>
    </w:p>
    <w:p>
      <w:pPr>
        <w:spacing w:after="60" w:line="264"/>
      </w:pPr>
      <w:r>
        <w:rPr>
          <w:b/>
          <w:bCs/>
          <w:sz w:val="20"/>
          <w:szCs w:val="20"/>
        </w:rPr>
        <w:t xml:space="preserve">1.2 Сведения о производителе и/или поставщике</w:t>
      </w:r>
    </w:p>
    <w:p>
      <w:pPr>
        <w:spacing w:after="100" w:line="264"/>
      </w:pPr>
      <w:r>
        <w:rPr>
          <w:sz w:val="20"/>
          <w:szCs w:val="20"/>
        </w:rPr>
        <w:t xml:space="preserve">ООО «СИПП-ПРОМ», 197348 Россия, Санкт-Петербург, Коломяжский проспект, дом 10, литер 10, помещение 1Н, 3Н, офис 307. Телефон +7 (812) 329-07-15.</w:t>
      </w:r>
    </w:p>
    <w:p>
      <w:pPr>
        <w:spacing w:after="200"/>
      </w:pPr>
    </w:p>
    <w:tbl>
      <w:tblPr>
        <w:tblW w:type="dxa" w:w="9906"/>
        <w:tblBorders>
          <w:top w:val="none"/>
          <w:left w:val="none"/>
          <w:bottom w:val="none"/>
          <w:right w:val="none"/>
          <w:insideH w:val="none"/>
          <w:insideV w:val="none"/>
        </w:tblBorders>
      </w:tblPr>
      <w:tblGrid>
        <w:gridCol w:w="9906"/>
      </w:tblGrid>
      <w:tr>
        <w:tc>
          <w:tcPr>
            <w:tcW w:type="dxa" w:w="9906"/>
            <w:shd w:fill="1F3864" w:color="auto" w:val="clear"/>
            <w:tcMar>
              <w:top w:type="dxa" w:w="100"/>
              <w:left w:type="dxa" w:w="150"/>
              <w:bottom w:type="dxa" w:w="100"/>
              <w:right w:type="dxa" w:w="150"/>
            </w:tcMar>
          </w:tcPr>
          <w:p>
            <w:pPr>
              <w:spacing w:after="0"/>
            </w:pPr>
            <w:r>
              <w:rPr>
                <w:b/>
                <w:bCs/>
                <w:color w:val="FFFFFF"/>
                <w:sz w:val="22"/>
                <w:szCs w:val="22"/>
              </w:rPr>
              <w:t xml:space="preserve">РАЗДЕЛ 2: ИДЕНТИФИКАЦИЯ ОПАСНОСТИ (ОПАСНОСТЕЙ)</w:t>
            </w:r>
          </w:p>
        </w:tc>
      </w:tr>
    </w:tbl>
    <w:p>
      <w:pPr>
        <w:spacing w:after="120"/>
      </w:pPr>
    </w:p>
    <w:p>
      <w:pPr>
        <w:spacing w:after="60" w:line="264"/>
      </w:pPr>
      <w:r>
        <w:rPr>
          <w:b/>
          <w:bCs/>
          <w:sz w:val="20"/>
          <w:szCs w:val="20"/>
        </w:rPr>
        <w:t xml:space="preserve">2.1 Степень опасности химической продукции в целом</w:t>
      </w:r>
    </w:p>
    <w:p>
      <w:pPr>
        <w:spacing w:after="100" w:line="264"/>
      </w:pPr>
      <w:r>
        <w:rPr>
          <w:sz w:val="20"/>
          <w:szCs w:val="20"/>
        </w:rPr>
        <w:t xml:space="preserve">(сведения о классификации опасности в соответствии с законодательством РФ (ГОСТ 12.1.007-76) и СГС (ГОСТ 32419-2022, ГОСТ 32423-2013, ГОСТ 32424-2013, ГОСТ 32425-2013))</w:t>
      </w:r>
    </w:p>
    <w:p>
      <w:pPr>
        <w:spacing w:after="20" w:line="264"/>
      </w:pPr>
      <w:r>
        <w:rPr>
          <w:b/>
          <w:bCs/>
          <w:sz w:val="20"/>
          <w:szCs w:val="20"/>
        </w:rPr>
        <w:t xml:space="preserve">Компонент А (основа)</w:t>
      </w:r>
    </w:p>
    <w:p>
      <w:pPr>
        <w:spacing w:after="100" w:line="264"/>
      </w:pPr>
      <w:r>
        <w:rPr>
          <w:sz w:val="20"/>
          <w:szCs w:val="20"/>
        </w:rPr>
        <w:t xml:space="preserve">По воздействию на организм в соответствии с ГОСТ 12.1.007 относится к веществам 4 класса опасности — малоопасные вещества.</w:t>
      </w:r>
    </w:p>
    <w:p>
      <w:pPr>
        <w:spacing w:after="20" w:line="264"/>
      </w:pPr>
      <w:r>
        <w:rPr>
          <w:b/>
          <w:bCs/>
          <w:sz w:val="20"/>
          <w:szCs w:val="20"/>
        </w:rPr>
        <w:t xml:space="preserve">Компонент Б (отвердитель)</w:t>
      </w:r>
    </w:p>
    <w:p>
      <w:pPr>
        <w:spacing w:after="100" w:line="264"/>
      </w:pPr>
      <w:r>
        <w:rPr>
          <w:sz w:val="20"/>
          <w:szCs w:val="20"/>
        </w:rPr>
        <w:t xml:space="preserve">По воздействию на организм в соответствии с ГОСТ 12.1.007 относится к веществам 2 класса опасности — высокоопасные вещества.</w:t>
      </w:r>
    </w:p>
    <w:p>
      <w:pPr>
        <w:spacing w:after="60" w:line="264"/>
      </w:pPr>
      <w:r>
        <w:rPr>
          <w:b/>
          <w:bCs/>
          <w:sz w:val="20"/>
          <w:szCs w:val="20"/>
        </w:rPr>
        <w:t xml:space="preserve">Классификация по СГС</w:t>
      </w:r>
    </w:p>
    <w:p>
      <w:pPr>
        <w:spacing w:after="20" w:line="264"/>
      </w:pPr>
      <w:r>
        <w:rPr>
          <w:b/>
          <w:bCs/>
          <w:sz w:val="20"/>
          <w:szCs w:val="20"/>
        </w:rPr>
        <w:t xml:space="preserve">Компонент А (основа)</w:t>
      </w:r>
    </w:p>
    <w:p>
      <w:pPr>
        <w:spacing w:after="100" w:line="264"/>
      </w:pPr>
      <w:r>
        <w:rPr>
          <w:sz w:val="20"/>
          <w:szCs w:val="20"/>
        </w:rPr>
        <w:t xml:space="preserve">Химическая продукция, вызывающая серьёзное повреждение/раздражение глаз, 2А класс.</w:t>
      </w:r>
    </w:p>
    <w:p>
      <w:pPr>
        <w:spacing w:after="20" w:line="264"/>
      </w:pPr>
      <w:r>
        <w:rPr>
          <w:b/>
          <w:bCs/>
          <w:sz w:val="20"/>
          <w:szCs w:val="20"/>
        </w:rPr>
        <w:t xml:space="preserve">Компонент Б (отвердитель)</w:t>
      </w:r>
    </w:p>
    <w:p>
      <w:pPr>
        <w:spacing w:after="100" w:line="264"/>
      </w:pPr>
      <w:r>
        <w:rPr>
          <w:sz w:val="20"/>
          <w:szCs w:val="20"/>
        </w:rPr>
        <w:t xml:space="preserve">Химическая продукция, вызывающая разъедание (некроз)/раздражение кожи, 2 класс; химическая продукция, обладающая сенсибилизирующим действием при контакте с кожей, 1В класс; химическая продукция, вызывающая серьёзное повреждение/раздражение глаз, 2А класс; химическая продукция, обладающая острой токсичностью по воздействию на организм при вдыхании, 4 класс; химическая продукция, обладающая сенсибилизирующим действием при вдыхании, 1В класс; химическая продукция, обладающая избирательной токсичностью на органы-мишени и/или системы при однократном воздействии, 3 класс; канцерогены, 2 класс; химическая продукция, обладающая избирательной токсичностью на органы-мишени и/или системы при многократном или продолжительном воздействии, 2 класс.</w:t>
      </w:r>
    </w:p>
    <w:p>
      <w:pPr>
        <w:spacing w:after="60" w:line="264"/>
      </w:pPr>
      <w:r>
        <w:rPr>
          <w:b/>
          <w:bCs/>
          <w:sz w:val="20"/>
          <w:szCs w:val="20"/>
        </w:rPr>
        <w:t xml:space="preserve">2.2 Сведения о предупредительной маркировке по ГОСТ 31340-2022</w:t>
      </w:r>
    </w:p>
    <w:p>
      <w:pPr>
        <w:spacing w:after="60" w:line="264"/>
      </w:pPr>
      <w:r>
        <w:rPr>
          <w:b/>
          <w:bCs/>
          <w:sz w:val="20"/>
          <w:szCs w:val="20"/>
        </w:rPr>
        <w:t xml:space="preserve">2.2.1 Сигнальное слово</w:t>
      </w:r>
    </w:p>
    <w:p>
      <w:pPr>
        <w:spacing w:after="100" w:line="264"/>
      </w:pPr>
      <w:r>
        <w:rPr>
          <w:sz w:val="20"/>
          <w:szCs w:val="20"/>
        </w:rPr>
        <w:t xml:space="preserve">Компонент А (основа): «Осторожно». Компонент Б (отвердитель): «Опасно».</w:t>
      </w:r>
    </w:p>
    <w:p>
      <w:pPr>
        <w:spacing w:after="60" w:line="264"/>
      </w:pPr>
      <w:r>
        <w:rPr>
          <w:b/>
          <w:bCs/>
          <w:sz w:val="20"/>
          <w:szCs w:val="20"/>
        </w:rPr>
        <w:t xml:space="preserve">2.2.2 Символы (знаки) опасности</w:t>
      </w:r>
    </w:p>
    <w:p>
      <w:pPr>
        <w:spacing w:after="100" w:line="264"/>
      </w:pPr>
      <w:r>
        <w:rPr>
          <w:sz w:val="20"/>
          <w:szCs w:val="20"/>
        </w:rPr>
        <w:t xml:space="preserve">Компонент А (основа): «Восклицательный знак». Компонент Б (отвердитель): «Восклицательный знак», «Опасность для здоровья человека».</w:t>
      </w:r>
    </w:p>
    <w:p>
      <w:pPr>
        <w:spacing w:after="60" w:line="264"/>
      </w:pPr>
      <w:r>
        <w:rPr>
          <w:b/>
          <w:bCs/>
          <w:sz w:val="20"/>
          <w:szCs w:val="20"/>
        </w:rPr>
        <w:t xml:space="preserve">2.2.3 Краткая характеристика опасности (Н-фразы)</w:t>
      </w:r>
    </w:p>
    <w:p>
      <w:pPr>
        <w:spacing w:after="20" w:line="264"/>
      </w:pPr>
      <w:r>
        <w:rPr>
          <w:b/>
          <w:bCs/>
          <w:sz w:val="20"/>
          <w:szCs w:val="20"/>
        </w:rPr>
        <w:t xml:space="preserve">Компонент А (основа)</w:t>
      </w:r>
    </w:p>
    <w:p>
      <w:pPr>
        <w:spacing w:after="100" w:line="264"/>
      </w:pPr>
      <w:r>
        <w:rPr>
          <w:sz w:val="20"/>
          <w:szCs w:val="20"/>
        </w:rPr>
        <w:t xml:space="preserve">H319 — при попадании в глаза вызывает выраженное раздражение.</w:t>
      </w:r>
    </w:p>
    <w:p>
      <w:pPr>
        <w:spacing w:after="20" w:line="264"/>
      </w:pPr>
      <w:r>
        <w:rPr>
          <w:b/>
          <w:bCs/>
          <w:sz w:val="20"/>
          <w:szCs w:val="20"/>
        </w:rPr>
        <w:t xml:space="preserve">Компонент Б (отвердитель)</w:t>
      </w:r>
    </w:p>
    <w:p>
      <w:pPr>
        <w:spacing w:after="100" w:line="264"/>
      </w:pPr>
      <w:r>
        <w:rPr>
          <w:sz w:val="20"/>
          <w:szCs w:val="20"/>
        </w:rPr>
        <w:t xml:space="preserve">H315 — при попадании на кожу вызывает раздражение; H317 — при контакте с кожей может вызывать аллергическую реакцию; H319 — при попадании в глаза вызывает выраженное раздражение; H332 — вредно при вдыхании; H334 — при вдыхании может вызывать аллергическую реакцию (астму или затруднённое дыхание); H335 — может вызывать раздражение верхних дыхательных путей; H351 — предполагается, что данная химическая продукция вызывает раковые заболевания; H373 — может поражать органы в результате многократного или продолжительного воздействия.</w:t>
      </w:r>
    </w:p>
    <w:p>
      <w:pPr>
        <w:spacing w:after="200"/>
      </w:pPr>
    </w:p>
    <w:tbl>
      <w:tblPr>
        <w:tblW w:type="dxa" w:w="9906"/>
        <w:tblBorders>
          <w:top w:val="none"/>
          <w:left w:val="none"/>
          <w:bottom w:val="none"/>
          <w:right w:val="none"/>
          <w:insideH w:val="none"/>
          <w:insideV w:val="none"/>
        </w:tblBorders>
      </w:tblPr>
      <w:tblGrid>
        <w:gridCol w:w="9906"/>
      </w:tblGrid>
      <w:tr>
        <w:tc>
          <w:tcPr>
            <w:tcW w:type="dxa" w:w="9906"/>
            <w:shd w:fill="1F3864" w:color="auto" w:val="clear"/>
            <w:tcMar>
              <w:top w:type="dxa" w:w="100"/>
              <w:left w:type="dxa" w:w="150"/>
              <w:bottom w:type="dxa" w:w="100"/>
              <w:right w:type="dxa" w:w="150"/>
            </w:tcMar>
          </w:tcPr>
          <w:p>
            <w:pPr>
              <w:spacing w:after="0"/>
            </w:pPr>
            <w:r>
              <w:rPr>
                <w:b/>
                <w:bCs/>
                <w:color w:val="FFFFFF"/>
                <w:sz w:val="22"/>
                <w:szCs w:val="22"/>
              </w:rPr>
              <w:t xml:space="preserve">РАЗДЕЛ 3: СОСТАВ (ИНФОРМАЦИЯ О КОМПОНЕНТАХ)</w:t>
            </w:r>
          </w:p>
        </w:tc>
      </w:tr>
    </w:tbl>
    <w:p>
      <w:pPr>
        <w:spacing w:after="120"/>
      </w:pPr>
    </w:p>
    <w:p>
      <w:pPr>
        <w:spacing w:after="60" w:line="264"/>
      </w:pPr>
      <w:r>
        <w:rPr>
          <w:b/>
          <w:bCs/>
          <w:sz w:val="20"/>
          <w:szCs w:val="20"/>
        </w:rPr>
        <w:t xml:space="preserve">3.1 Сведения о продукции в целом</w:t>
      </w:r>
    </w:p>
    <w:p>
      <w:pPr>
        <w:spacing w:after="100" w:line="264"/>
      </w:pPr>
      <w:r>
        <w:rPr>
          <w:sz w:val="20"/>
          <w:szCs w:val="20"/>
        </w:rPr>
        <w:t xml:space="preserve">Химическое наименование (по IUPAC): отсутствует. Химическая формула: отсутствует.</w:t>
      </w:r>
    </w:p>
    <w:p>
      <w:pPr>
        <w:spacing w:after="100" w:line="264"/>
      </w:pPr>
      <w:r>
        <w:rPr>
          <w:sz w:val="20"/>
          <w:szCs w:val="20"/>
        </w:rPr>
        <w:t xml:space="preserve">Продукция представляет собой двухкомпонентный состав: компонент А (основа), компонент Б (отвердитель). Компонент А (основа) — готовый к использованию компонент, который содержит смесь полиэфирполиолов, наполнителей и функциональных добавок. Компонент Б (отвердитель) — готовый к использованию компонент на основе полиизоцианата с добавлением катализаторов и функциональных добавок.</w:t>
      </w:r>
    </w:p>
    <w:p>
      <w:pPr>
        <w:spacing w:after="60" w:line="264"/>
      </w:pPr>
      <w:r>
        <w:rPr>
          <w:b/>
          <w:bCs/>
          <w:sz w:val="20"/>
          <w:szCs w:val="20"/>
        </w:rPr>
        <w:t xml:space="preserve">3.2 Опасные компоненты</w:t>
      </w:r>
    </w:p>
    <w:p>
      <w:pPr>
        <w:spacing w:after="100" w:line="264"/>
      </w:pPr>
      <w:r>
        <w:rPr>
          <w:sz w:val="20"/>
          <w:szCs w:val="20"/>
        </w:rPr>
        <w:t xml:space="preserve">(наименование, номера CAS и ЕС, массовая доля, ПДК р.з. или ОБУВ р.з., классы опасности)</w:t>
      </w:r>
    </w:p>
    <w:tbl>
      <w:tblPr>
        <w:tblW w:type="dxa" w:w="9906"/>
        <w:tblBorders>
          <w:top w:val="single" w:color="8EA9DB" w:sz="4"/>
          <w:left w:val="single" w:color="8EA9DB" w:sz="4"/>
          <w:bottom w:val="single" w:color="8EA9DB" w:sz="4"/>
          <w:right w:val="single" w:color="8EA9DB" w:sz="4"/>
          <w:insideH w:val="single" w:color="8EA9DB" w:sz="4"/>
          <w:insideV w:val="single" w:color="8EA9DB" w:sz="4"/>
        </w:tblBorders>
      </w:tblPr>
      <w:tblGrid>
        <w:gridCol w:w="2600"/>
        <w:gridCol w:w="1300"/>
        <w:gridCol w:w="1400"/>
        <w:gridCol w:w="1400"/>
        <w:gridCol w:w="1400"/>
        <w:gridCol w:w="1326"/>
      </w:tblGrid>
      <w:tr>
        <w:trPr>
          <w:tblHeader/>
        </w:trPr>
        <w:tc>
          <w:tcPr>
            <w:tcW w:type="dxa" w:w="2600"/>
            <w:shd w:fill="D9E2F3" w:color="auto" w:val="clear"/>
            <w:tcMar>
              <w:top w:type="dxa" w:w="60"/>
              <w:left w:type="dxa" w:w="100"/>
              <w:bottom w:type="dxa" w:w="60"/>
              <w:right w:type="dxa" w:w="100"/>
            </w:tcMar>
            <w:vAlign w:val="center"/>
          </w:tcPr>
          <w:p>
            <w:pPr>
              <w:spacing w:after="0" w:line="264"/>
            </w:pPr>
            <w:r>
              <w:rPr>
                <w:b/>
                <w:bCs/>
                <w:sz w:val="18"/>
                <w:szCs w:val="18"/>
              </w:rPr>
              <w:t xml:space="preserve">Компонент</w:t>
            </w:r>
          </w:p>
        </w:tc>
        <w:tc>
          <w:tcPr>
            <w:tcW w:type="dxa" w:w="1300"/>
            <w:shd w:fill="D9E2F3" w:color="auto" w:val="clear"/>
            <w:tcMar>
              <w:top w:type="dxa" w:w="60"/>
              <w:left w:type="dxa" w:w="100"/>
              <w:bottom w:type="dxa" w:w="60"/>
              <w:right w:type="dxa" w:w="100"/>
            </w:tcMar>
            <w:vAlign w:val="center"/>
          </w:tcPr>
          <w:p>
            <w:pPr>
              <w:spacing w:after="0" w:line="264"/>
            </w:pPr>
            <w:r>
              <w:rPr>
                <w:b/>
                <w:bCs/>
                <w:sz w:val="18"/>
                <w:szCs w:val="18"/>
              </w:rPr>
              <w:t xml:space="preserve">Массовая доля, %</w:t>
            </w:r>
          </w:p>
        </w:tc>
        <w:tc>
          <w:tcPr>
            <w:tcW w:type="dxa" w:w="1400"/>
            <w:shd w:fill="D9E2F3" w:color="auto" w:val="clear"/>
            <w:tcMar>
              <w:top w:type="dxa" w:w="60"/>
              <w:left w:type="dxa" w:w="100"/>
              <w:bottom w:type="dxa" w:w="60"/>
              <w:right w:type="dxa" w:w="100"/>
            </w:tcMar>
            <w:vAlign w:val="center"/>
          </w:tcPr>
          <w:p>
            <w:pPr>
              <w:spacing w:after="0" w:line="264"/>
            </w:pPr>
            <w:r>
              <w:rPr>
                <w:b/>
                <w:bCs/>
                <w:sz w:val="18"/>
                <w:szCs w:val="18"/>
              </w:rPr>
              <w:t xml:space="preserve">ПДК р.з., мг/м³</w:t>
            </w:r>
          </w:p>
        </w:tc>
        <w:tc>
          <w:tcPr>
            <w:tcW w:type="dxa" w:w="1400"/>
            <w:shd w:fill="D9E2F3" w:color="auto" w:val="clear"/>
            <w:tcMar>
              <w:top w:type="dxa" w:w="60"/>
              <w:left w:type="dxa" w:w="100"/>
              <w:bottom w:type="dxa" w:w="60"/>
              <w:right w:type="dxa" w:w="100"/>
            </w:tcMar>
            <w:vAlign w:val="center"/>
          </w:tcPr>
          <w:p>
            <w:pPr>
              <w:spacing w:after="0" w:line="264"/>
            </w:pPr>
            <w:r>
              <w:rPr>
                <w:b/>
                <w:bCs/>
                <w:sz w:val="18"/>
                <w:szCs w:val="18"/>
              </w:rPr>
              <w:t xml:space="preserve">Класс опасности</w:t>
            </w:r>
          </w:p>
        </w:tc>
        <w:tc>
          <w:tcPr>
            <w:tcW w:type="dxa" w:w="1400"/>
            <w:shd w:fill="D9E2F3" w:color="auto" w:val="clear"/>
            <w:tcMar>
              <w:top w:type="dxa" w:w="60"/>
              <w:left w:type="dxa" w:w="100"/>
              <w:bottom w:type="dxa" w:w="60"/>
              <w:right w:type="dxa" w:w="100"/>
            </w:tcMar>
            <w:vAlign w:val="center"/>
          </w:tcPr>
          <w:p>
            <w:pPr>
              <w:spacing w:after="0" w:line="264"/>
            </w:pPr>
            <w:r>
              <w:rPr>
                <w:b/>
                <w:bCs/>
                <w:sz w:val="18"/>
                <w:szCs w:val="18"/>
              </w:rPr>
              <w:t xml:space="preserve">№ CAS</w:t>
            </w:r>
          </w:p>
        </w:tc>
        <w:tc>
          <w:tcPr>
            <w:tcW w:type="dxa" w:w="1326"/>
            <w:shd w:fill="D9E2F3" w:color="auto" w:val="clear"/>
            <w:tcMar>
              <w:top w:type="dxa" w:w="60"/>
              <w:left w:type="dxa" w:w="100"/>
              <w:bottom w:type="dxa" w:w="60"/>
              <w:right w:type="dxa" w:w="100"/>
            </w:tcMar>
            <w:vAlign w:val="center"/>
          </w:tcPr>
          <w:p>
            <w:pPr>
              <w:spacing w:after="0" w:line="264"/>
            </w:pPr>
            <w:r>
              <w:rPr>
                <w:b/>
                <w:bCs/>
                <w:sz w:val="18"/>
                <w:szCs w:val="18"/>
              </w:rPr>
              <w:t xml:space="preserve">№ ЕС</w:t>
            </w:r>
          </w:p>
        </w:tc>
      </w:tr>
      <w:tr>
        <w:tc>
          <w:tcPr>
            <w:tcW w:type="dxa" w:w="2600"/>
            <w:tcMar>
              <w:top w:type="dxa" w:w="60"/>
              <w:left w:type="dxa" w:w="100"/>
              <w:bottom w:type="dxa" w:w="60"/>
              <w:right w:type="dxa" w:w="100"/>
            </w:tcMar>
            <w:vAlign w:val="top"/>
          </w:tcPr>
          <w:p>
            <w:pPr>
              <w:spacing w:after="0" w:line="264"/>
            </w:pPr>
            <w:r>
              <w:rPr>
                <w:sz w:val="18"/>
                <w:szCs w:val="18"/>
              </w:rPr>
              <w:t xml:space="preserve">Полимерный дифенилметандиизоцианат (1,1'-Метиленбис(4-изоцианатбензол))</w:t>
            </w:r>
          </w:p>
        </w:tc>
        <w:tc>
          <w:tcPr>
            <w:tcW w:type="dxa" w:w="1300"/>
            <w:tcMar>
              <w:top w:type="dxa" w:w="60"/>
              <w:left w:type="dxa" w:w="100"/>
              <w:bottom w:type="dxa" w:w="60"/>
              <w:right w:type="dxa" w:w="100"/>
            </w:tcMar>
            <w:vAlign w:val="top"/>
          </w:tcPr>
          <w:p>
            <w:pPr>
              <w:spacing w:after="0" w:line="264"/>
            </w:pPr>
            <w:r>
              <w:rPr>
                <w:sz w:val="18"/>
                <w:szCs w:val="18"/>
              </w:rPr>
              <w:t xml:space="preserve">100</w:t>
            </w:r>
          </w:p>
        </w:tc>
        <w:tc>
          <w:tcPr>
            <w:tcW w:type="dxa" w:w="1400"/>
            <w:tcMar>
              <w:top w:type="dxa" w:w="60"/>
              <w:left w:type="dxa" w:w="100"/>
              <w:bottom w:type="dxa" w:w="60"/>
              <w:right w:type="dxa" w:w="100"/>
            </w:tcMar>
            <w:vAlign w:val="top"/>
          </w:tcPr>
          <w:p>
            <w:pPr>
              <w:spacing w:after="0" w:line="264"/>
            </w:pPr>
            <w:r>
              <w:rPr>
                <w:sz w:val="18"/>
                <w:szCs w:val="18"/>
              </w:rPr>
              <w:t xml:space="preserve">0,5 (п+а)</w:t>
            </w:r>
          </w:p>
        </w:tc>
        <w:tc>
          <w:tcPr>
            <w:tcW w:type="dxa" w:w="1400"/>
            <w:tcMar>
              <w:top w:type="dxa" w:w="60"/>
              <w:left w:type="dxa" w:w="100"/>
              <w:bottom w:type="dxa" w:w="60"/>
              <w:right w:type="dxa" w:w="100"/>
            </w:tcMar>
            <w:vAlign w:val="top"/>
          </w:tcPr>
          <w:p>
            <w:pPr>
              <w:spacing w:after="0" w:line="264"/>
            </w:pPr>
            <w:r>
              <w:rPr>
                <w:sz w:val="18"/>
                <w:szCs w:val="18"/>
              </w:rPr>
              <w:t xml:space="preserve">2А</w:t>
            </w:r>
          </w:p>
        </w:tc>
        <w:tc>
          <w:tcPr>
            <w:tcW w:type="dxa" w:w="1400"/>
            <w:tcMar>
              <w:top w:type="dxa" w:w="60"/>
              <w:left w:type="dxa" w:w="100"/>
              <w:bottom w:type="dxa" w:w="60"/>
              <w:right w:type="dxa" w:w="100"/>
            </w:tcMar>
            <w:vAlign w:val="top"/>
          </w:tcPr>
          <w:p>
            <w:pPr>
              <w:spacing w:after="0" w:line="264"/>
            </w:pPr>
            <w:r>
              <w:rPr>
                <w:sz w:val="18"/>
                <w:szCs w:val="18"/>
              </w:rPr>
              <w:t xml:space="preserve">9016-87-9</w:t>
            </w:r>
          </w:p>
        </w:tc>
        <w:tc>
          <w:tcPr>
            <w:tcW w:type="dxa" w:w="1326"/>
            <w:tcMar>
              <w:top w:type="dxa" w:w="60"/>
              <w:left w:type="dxa" w:w="100"/>
              <w:bottom w:type="dxa" w:w="60"/>
              <w:right w:type="dxa" w:w="100"/>
            </w:tcMar>
            <w:vAlign w:val="top"/>
          </w:tcPr>
          <w:p>
            <w:pPr>
              <w:spacing w:after="0" w:line="264"/>
            </w:pPr>
            <w:r>
              <w:rPr>
                <w:sz w:val="18"/>
                <w:szCs w:val="18"/>
              </w:rPr>
              <w:t xml:space="preserve">618-498-9</w:t>
            </w:r>
          </w:p>
        </w:tc>
      </w:tr>
    </w:tbl>
    <w:p>
      <w:pPr>
        <w:spacing w:after="200"/>
      </w:pPr>
    </w:p>
    <w:tbl>
      <w:tblPr>
        <w:tblW w:type="dxa" w:w="9906"/>
        <w:tblBorders>
          <w:top w:val="none"/>
          <w:left w:val="none"/>
          <w:bottom w:val="none"/>
          <w:right w:val="none"/>
          <w:insideH w:val="none"/>
          <w:insideV w:val="none"/>
        </w:tblBorders>
      </w:tblPr>
      <w:tblGrid>
        <w:gridCol w:w="9906"/>
      </w:tblGrid>
      <w:tr>
        <w:tc>
          <w:tcPr>
            <w:tcW w:type="dxa" w:w="9906"/>
            <w:shd w:fill="1F3864" w:color="auto" w:val="clear"/>
            <w:tcMar>
              <w:top w:type="dxa" w:w="100"/>
              <w:left w:type="dxa" w:w="150"/>
              <w:bottom w:type="dxa" w:w="100"/>
              <w:right w:type="dxa" w:w="150"/>
            </w:tcMar>
          </w:tcPr>
          <w:p>
            <w:pPr>
              <w:spacing w:after="0"/>
            </w:pPr>
            <w:r>
              <w:rPr>
                <w:b/>
                <w:bCs/>
                <w:color w:val="FFFFFF"/>
                <w:sz w:val="22"/>
                <w:szCs w:val="22"/>
              </w:rPr>
              <w:t xml:space="preserve">РАЗДЕЛ 4: МЕРЫ ПЕРВОЙ ПОМОЩИ</w:t>
            </w:r>
          </w:p>
        </w:tc>
      </w:tr>
    </w:tbl>
    <w:p>
      <w:pPr>
        <w:spacing w:after="120"/>
      </w:pPr>
    </w:p>
    <w:p>
      <w:pPr>
        <w:spacing w:after="60" w:line="264"/>
      </w:pPr>
      <w:r>
        <w:rPr>
          <w:b/>
          <w:bCs/>
          <w:sz w:val="20"/>
          <w:szCs w:val="20"/>
        </w:rPr>
        <w:t xml:space="preserve">4.1 Наблюдаемые симптомы</w:t>
      </w:r>
    </w:p>
    <w:p>
      <w:pPr>
        <w:spacing w:after="60" w:line="264"/>
      </w:pPr>
      <w:r>
        <w:rPr>
          <w:b/>
          <w:bCs/>
          <w:sz w:val="20"/>
          <w:szCs w:val="20"/>
        </w:rPr>
        <w:t xml:space="preserve">При отравлении ингаляционным путём (при вдыхании)</w:t>
      </w:r>
    </w:p>
    <w:p>
      <w:pPr>
        <w:spacing w:after="100" w:line="264"/>
      </w:pPr>
      <w:r>
        <w:rPr>
          <w:sz w:val="20"/>
          <w:szCs w:val="20"/>
        </w:rPr>
        <w:t xml:space="preserve">Компонент А (основа): вялость, малоподвижность, снижение реакции на внешние раздражители. Компонент Б (отвердитель): першение в горле, кашель, изменение ритма дыхания, вялость.</w:t>
      </w:r>
    </w:p>
    <w:p>
      <w:pPr>
        <w:spacing w:after="60" w:line="264"/>
      </w:pPr>
      <w:r>
        <w:rPr>
          <w:b/>
          <w:bCs/>
          <w:sz w:val="20"/>
          <w:szCs w:val="20"/>
        </w:rPr>
        <w:t xml:space="preserve">При воздействии на кожу</w:t>
      </w:r>
    </w:p>
    <w:p>
      <w:pPr>
        <w:spacing w:after="100" w:line="264"/>
      </w:pPr>
      <w:r>
        <w:rPr>
          <w:sz w:val="20"/>
          <w:szCs w:val="20"/>
        </w:rPr>
        <w:t xml:space="preserve">Компонент А (основа): может вызвать раздражение. Компонент Б (отвердитель): покраснение, зуд.</w:t>
      </w:r>
    </w:p>
    <w:p>
      <w:pPr>
        <w:spacing w:after="60" w:line="264"/>
      </w:pPr>
      <w:r>
        <w:rPr>
          <w:b/>
          <w:bCs/>
          <w:sz w:val="20"/>
          <w:szCs w:val="20"/>
        </w:rPr>
        <w:t xml:space="preserve">При попадании в глаза</w:t>
      </w:r>
    </w:p>
    <w:p>
      <w:pPr>
        <w:spacing w:after="100" w:line="264"/>
      </w:pPr>
      <w:r>
        <w:rPr>
          <w:sz w:val="20"/>
          <w:szCs w:val="20"/>
        </w:rPr>
        <w:t xml:space="preserve">Компонент А (основа): покраснение, слезотечение, зуд. Компонент Б (отвердитель): покраснение, слезотечение, зуд.</w:t>
      </w:r>
    </w:p>
    <w:p>
      <w:pPr>
        <w:spacing w:after="60" w:line="264"/>
      </w:pPr>
      <w:r>
        <w:rPr>
          <w:b/>
          <w:bCs/>
          <w:sz w:val="20"/>
          <w:szCs w:val="20"/>
        </w:rPr>
        <w:t xml:space="preserve">При отравлении пероральным путём (при проглатывании)</w:t>
      </w:r>
    </w:p>
    <w:p>
      <w:pPr>
        <w:spacing w:after="100" w:line="264"/>
      </w:pPr>
      <w:r>
        <w:rPr>
          <w:sz w:val="20"/>
          <w:szCs w:val="20"/>
        </w:rPr>
        <w:t xml:space="preserve">Компонент А (основа): тошнота, рвота, возможно боли в животе. Компонент Б (отвердитель): боли в области живота, тошнота, рвота, диарея.</w:t>
      </w:r>
    </w:p>
    <w:p>
      <w:pPr>
        <w:spacing w:after="60" w:line="264"/>
      </w:pPr>
      <w:r>
        <w:rPr>
          <w:b/>
          <w:bCs/>
          <w:sz w:val="20"/>
          <w:szCs w:val="20"/>
        </w:rPr>
        <w:t xml:space="preserve">4.2 Меры по оказанию первой помощи пострадавшим</w:t>
      </w:r>
    </w:p>
    <w:p>
      <w:pPr>
        <w:spacing w:after="60" w:line="264"/>
      </w:pPr>
      <w:r>
        <w:rPr>
          <w:b/>
          <w:bCs/>
          <w:sz w:val="20"/>
          <w:szCs w:val="20"/>
        </w:rPr>
        <w:t xml:space="preserve">При отравлении ингаляционным путём</w:t>
      </w:r>
    </w:p>
    <w:p>
      <w:pPr>
        <w:spacing w:after="100" w:line="264"/>
      </w:pPr>
      <w:r>
        <w:rPr>
          <w:sz w:val="20"/>
          <w:szCs w:val="20"/>
        </w:rPr>
        <w:t xml:space="preserve">Компонент А (основа): свежий воздух, тепло, покой. В случае необходимости обратиться за медицинской помощью. Компонент Б (отвердитель): свежий воздух, покой, тепло. При нарушении дыхания — вдыхание кислорода. В случае необходимости обратиться за медицинской помощью.</w:t>
      </w:r>
    </w:p>
    <w:p>
      <w:pPr>
        <w:spacing w:after="60" w:line="264"/>
      </w:pPr>
      <w:r>
        <w:rPr>
          <w:b/>
          <w:bCs/>
          <w:sz w:val="20"/>
          <w:szCs w:val="20"/>
        </w:rPr>
        <w:t xml:space="preserve">При воздействии на кожу</w:t>
      </w:r>
    </w:p>
    <w:p>
      <w:pPr>
        <w:spacing w:after="100" w:line="264"/>
      </w:pPr>
      <w:r>
        <w:rPr>
          <w:sz w:val="20"/>
          <w:szCs w:val="20"/>
        </w:rPr>
        <w:t xml:space="preserve">Компонент А (основа): обильно смыть проточной водой с мылом. В случае необходимости обратиться за медицинской помощью. Компонент Б (отвердитель): смыть проточной водой с мылом. В случае необходимости обратиться за медицинской помощью.</w:t>
      </w:r>
    </w:p>
    <w:p>
      <w:pPr>
        <w:spacing w:after="60" w:line="264"/>
      </w:pPr>
      <w:r>
        <w:rPr>
          <w:b/>
          <w:bCs/>
          <w:sz w:val="20"/>
          <w:szCs w:val="20"/>
        </w:rPr>
        <w:t xml:space="preserve">При попадании в глаза</w:t>
      </w:r>
    </w:p>
    <w:p>
      <w:pPr>
        <w:spacing w:after="100" w:line="264"/>
      </w:pPr>
      <w:r>
        <w:rPr>
          <w:sz w:val="20"/>
          <w:szCs w:val="20"/>
        </w:rPr>
        <w:t xml:space="preserve">Компонент А (основа): обильно промыть проточной водой при широко раскрытой глазной щели. В случае необходимости обратиться за медицинской помощью. Компонент Б (отвердитель): промыть проточной водой. В случае необходимости обратиться за медицинской помощью.</w:t>
      </w:r>
    </w:p>
    <w:p>
      <w:pPr>
        <w:spacing w:after="60" w:line="264"/>
      </w:pPr>
      <w:r>
        <w:rPr>
          <w:b/>
          <w:bCs/>
          <w:sz w:val="20"/>
          <w:szCs w:val="20"/>
        </w:rPr>
        <w:t xml:space="preserve">При отравлении пероральным путём</w:t>
      </w:r>
    </w:p>
    <w:p>
      <w:pPr>
        <w:spacing w:after="100" w:line="264"/>
      </w:pPr>
      <w:r>
        <w:rPr>
          <w:sz w:val="20"/>
          <w:szCs w:val="20"/>
        </w:rPr>
        <w:t xml:space="preserve">Компонент А (основа): обильное питьё воды, активированный уголь, солевое слабительное. В случае необходимости обратиться за медицинской помощью. Компонент Б (отвердитель): прополоскать ротовую полость водой, обильное питьё воды, активированный уголь, солевое слабительное. В случае необходимости обратиться за медицинской помощью.</w:t>
      </w:r>
    </w:p>
    <w:p>
      <w:pPr>
        <w:spacing w:after="60" w:line="264"/>
      </w:pPr>
      <w:r>
        <w:rPr>
          <w:b/>
          <w:bCs/>
          <w:sz w:val="20"/>
          <w:szCs w:val="20"/>
        </w:rPr>
        <w:t xml:space="preserve">4.2.5 Противопоказания</w:t>
      </w:r>
    </w:p>
    <w:p>
      <w:pPr>
        <w:spacing w:after="100" w:line="264"/>
      </w:pPr>
      <w:r>
        <w:rPr>
          <w:sz w:val="20"/>
          <w:szCs w:val="20"/>
        </w:rPr>
        <w:t xml:space="preserve">Компонент А (основа): отсутствуют. Компонент Б (отвердитель): отсутствуют.</w:t>
      </w:r>
    </w:p>
    <w:p>
      <w:pPr>
        <w:spacing w:after="200"/>
      </w:pPr>
    </w:p>
    <w:tbl>
      <w:tblPr>
        <w:tblW w:type="dxa" w:w="9906"/>
        <w:tblBorders>
          <w:top w:val="none"/>
          <w:left w:val="none"/>
          <w:bottom w:val="none"/>
          <w:right w:val="none"/>
          <w:insideH w:val="none"/>
          <w:insideV w:val="none"/>
        </w:tblBorders>
      </w:tblPr>
      <w:tblGrid>
        <w:gridCol w:w="9906"/>
      </w:tblGrid>
      <w:tr>
        <w:tc>
          <w:tcPr>
            <w:tcW w:type="dxa" w:w="9906"/>
            <w:shd w:fill="1F3864" w:color="auto" w:val="clear"/>
            <w:tcMar>
              <w:top w:type="dxa" w:w="100"/>
              <w:left w:type="dxa" w:w="150"/>
              <w:bottom w:type="dxa" w:w="100"/>
              <w:right w:type="dxa" w:w="150"/>
            </w:tcMar>
          </w:tcPr>
          <w:p>
            <w:pPr>
              <w:spacing w:after="0"/>
            </w:pPr>
            <w:r>
              <w:rPr>
                <w:b/>
                <w:bCs/>
                <w:color w:val="FFFFFF"/>
                <w:sz w:val="22"/>
                <w:szCs w:val="22"/>
              </w:rPr>
              <w:t xml:space="preserve">РАЗДЕЛ 5: МЕРЫ И СРЕДСТВА ОБЕСПЕЧЕНИЯ ПОЖАРОВЗРЫВОБЕЗОПАСНОСТИ</w:t>
            </w:r>
          </w:p>
        </w:tc>
      </w:tr>
    </w:tbl>
    <w:p>
      <w:pPr>
        <w:spacing w:after="120"/>
      </w:pPr>
    </w:p>
    <w:p>
      <w:pPr>
        <w:spacing w:after="60" w:line="264"/>
      </w:pPr>
      <w:r>
        <w:rPr>
          <w:b/>
          <w:bCs/>
          <w:sz w:val="20"/>
          <w:szCs w:val="20"/>
        </w:rPr>
        <w:t xml:space="preserve">5.1 Общая характеристика пожаровзрывоопасности</w:t>
      </w:r>
    </w:p>
    <w:p>
      <w:pPr>
        <w:spacing w:after="100" w:line="264"/>
      </w:pPr>
      <w:r>
        <w:rPr>
          <w:sz w:val="20"/>
          <w:szCs w:val="20"/>
        </w:rPr>
        <w:t xml:space="preserve">Компонент А (основа): продукция негорючая. Компонент Б (отвердитель): продукция негорючая.</w:t>
      </w:r>
    </w:p>
    <w:p>
      <w:pPr>
        <w:spacing w:after="60" w:line="264"/>
      </w:pPr>
      <w:r>
        <w:rPr>
          <w:b/>
          <w:bCs/>
          <w:sz w:val="20"/>
          <w:szCs w:val="20"/>
        </w:rPr>
        <w:t xml:space="preserve">5.2 Показатели пожаровзрывоопасности</w:t>
      </w:r>
    </w:p>
    <w:p>
      <w:pPr>
        <w:spacing w:after="100" w:line="264"/>
      </w:pPr>
      <w:r>
        <w:rPr>
          <w:sz w:val="20"/>
          <w:szCs w:val="20"/>
        </w:rPr>
        <w:t xml:space="preserve">Не достигаются.</w:t>
      </w:r>
    </w:p>
    <w:p>
      <w:pPr>
        <w:spacing w:after="60" w:line="264"/>
      </w:pPr>
      <w:r>
        <w:rPr>
          <w:b/>
          <w:bCs/>
          <w:sz w:val="20"/>
          <w:szCs w:val="20"/>
        </w:rPr>
        <w:t xml:space="preserve">5.3 Продукты горения и/или термодеструкции и вызываемая ими опасность</w:t>
      </w:r>
    </w:p>
    <w:p>
      <w:pPr>
        <w:spacing w:after="100" w:line="264"/>
      </w:pPr>
      <w:r>
        <w:rPr>
          <w:sz w:val="20"/>
          <w:szCs w:val="20"/>
        </w:rPr>
        <w:t xml:space="preserve">Пожар или интенсивное нагревание могут привести к повышению давления. Нагревание может выделить опасные газы (оксид углерода). Оксид углерода, вытесняя кислород из его соединений с гемоглобином, образует карбоксигемоглобин, при этом часть гемоглобина становится недеятельной, что нарушает транспорт кислорода в ткани и ведёт к развитию кислородной недостаточности — гипоксии. Нарушения сводятся к появлению головокружения, головной боли, одышки, мышечной слабости, спутанности сознания, в тяжёлых случаях наступает потеря сознания и коллапс. Наиболее тяжёлые отравления вызывают быстрое развитие комы, часто со смертельным исходом.</w:t>
      </w:r>
    </w:p>
    <w:p>
      <w:pPr>
        <w:spacing w:after="60" w:line="264"/>
      </w:pPr>
      <w:r>
        <w:rPr>
          <w:b/>
          <w:bCs/>
          <w:sz w:val="20"/>
          <w:szCs w:val="20"/>
        </w:rPr>
        <w:t xml:space="preserve">5.4 Рекомендуемые средства тушения пожаров</w:t>
      </w:r>
    </w:p>
    <w:p>
      <w:pPr>
        <w:spacing w:after="100" w:line="264"/>
      </w:pPr>
      <w:r>
        <w:rPr>
          <w:sz w:val="20"/>
          <w:szCs w:val="20"/>
        </w:rPr>
        <w:t xml:space="preserve">По основному источнику.</w:t>
      </w:r>
    </w:p>
    <w:p>
      <w:pPr>
        <w:spacing w:after="60" w:line="264"/>
      </w:pPr>
      <w:r>
        <w:rPr>
          <w:b/>
          <w:bCs/>
          <w:sz w:val="20"/>
          <w:szCs w:val="20"/>
        </w:rPr>
        <w:t xml:space="preserve">5.5 Запрещённые средства тушения пожаров</w:t>
      </w:r>
    </w:p>
    <w:p>
      <w:pPr>
        <w:spacing w:after="100" w:line="264"/>
      </w:pPr>
      <w:r>
        <w:rPr>
          <w:sz w:val="20"/>
          <w:szCs w:val="20"/>
        </w:rPr>
        <w:t xml:space="preserve">Компактные струи воды.</w:t>
      </w:r>
    </w:p>
    <w:p>
      <w:pPr>
        <w:spacing w:after="60" w:line="264"/>
      </w:pPr>
      <w:r>
        <w:rPr>
          <w:b/>
          <w:bCs/>
          <w:sz w:val="20"/>
          <w:szCs w:val="20"/>
        </w:rPr>
        <w:t xml:space="preserve">5.6 Средства индивидуальной защиты при тушении пожаров (СИЗ пожарных)</w:t>
      </w:r>
    </w:p>
    <w:p>
      <w:pPr>
        <w:spacing w:after="100" w:line="264"/>
      </w:pPr>
      <w:r>
        <w:rPr>
          <w:sz w:val="20"/>
          <w:szCs w:val="20"/>
        </w:rPr>
        <w:t xml:space="preserve">Боевая одежда пожарного (куртка и брюки со съёмными теплоизолирующими подстёжками) в комплекте с поясом пожарным спасательным, рукавицами или перчатками, каской пожарной, специальной защитной обувью в комплекте с самоспасателем. Дыхательные аппараты со сжатым воздухом, кислородные изолирующие противогазы.</w:t>
      </w:r>
    </w:p>
    <w:p>
      <w:pPr>
        <w:spacing w:after="60" w:line="264"/>
      </w:pPr>
      <w:r>
        <w:rPr>
          <w:b/>
          <w:bCs/>
          <w:sz w:val="20"/>
          <w:szCs w:val="20"/>
        </w:rPr>
        <w:t xml:space="preserve">5.7 Специфика при тушении</w:t>
      </w:r>
    </w:p>
    <w:p>
      <w:pPr>
        <w:spacing w:after="100" w:line="264"/>
      </w:pPr>
      <w:r>
        <w:rPr>
          <w:sz w:val="20"/>
          <w:szCs w:val="20"/>
        </w:rPr>
        <w:t xml:space="preserve">В процесс горения вовлекается упаковка.</w:t>
      </w:r>
    </w:p>
    <w:p>
      <w:pPr>
        <w:spacing w:after="200"/>
      </w:pPr>
    </w:p>
    <w:tbl>
      <w:tblPr>
        <w:tblW w:type="dxa" w:w="9906"/>
        <w:tblBorders>
          <w:top w:val="none"/>
          <w:left w:val="none"/>
          <w:bottom w:val="none"/>
          <w:right w:val="none"/>
          <w:insideH w:val="none"/>
          <w:insideV w:val="none"/>
        </w:tblBorders>
      </w:tblPr>
      <w:tblGrid>
        <w:gridCol w:w="9906"/>
      </w:tblGrid>
      <w:tr>
        <w:tc>
          <w:tcPr>
            <w:tcW w:type="dxa" w:w="9906"/>
            <w:shd w:fill="1F3864" w:color="auto" w:val="clear"/>
            <w:tcMar>
              <w:top w:type="dxa" w:w="100"/>
              <w:left w:type="dxa" w:w="150"/>
              <w:bottom w:type="dxa" w:w="100"/>
              <w:right w:type="dxa" w:w="150"/>
            </w:tcMar>
          </w:tcPr>
          <w:p>
            <w:pPr>
              <w:spacing w:after="0"/>
            </w:pPr>
            <w:r>
              <w:rPr>
                <w:b/>
                <w:bCs/>
                <w:color w:val="FFFFFF"/>
                <w:sz w:val="22"/>
                <w:szCs w:val="22"/>
              </w:rPr>
              <w:t xml:space="preserve">РАЗДЕЛ 6: МЕРЫ ПО ПРЕДОТВРАЩЕНИЮ И ЛИКВИДАЦИИ АВАРИЙНЫХ И ЧРЕЗВЫЧАЙНЫХ СИТУАЦИЙ И ИХ ПОСЛЕДСТВИЙ</w:t>
            </w:r>
          </w:p>
        </w:tc>
      </w:tr>
    </w:tbl>
    <w:p>
      <w:pPr>
        <w:spacing w:after="120"/>
      </w:pPr>
    </w:p>
    <w:p>
      <w:pPr>
        <w:spacing w:after="60" w:line="264"/>
      </w:pPr>
      <w:r>
        <w:rPr>
          <w:b/>
          <w:bCs/>
          <w:sz w:val="20"/>
          <w:szCs w:val="20"/>
        </w:rPr>
        <w:t xml:space="preserve">6.1.1 Необходимые действия общего характера при авариях и ЧС</w:t>
      </w:r>
    </w:p>
    <w:p>
      <w:pPr>
        <w:spacing w:after="100" w:line="264"/>
      </w:pPr>
      <w:r>
        <w:rPr>
          <w:sz w:val="20"/>
          <w:szCs w:val="20"/>
        </w:rPr>
        <w:t xml:space="preserve">Изолировать опасную зону в радиусе не менее 200 м. Откорректировать указанное расстояние по результатам химразведки. Удалить посторонних. В опасную зону входить в защитных средствах. Держаться наветренной стороны. Пострадавшим оказать первую помощь. Отправить людей из очага поражения на медобследование.</w:t>
      </w:r>
    </w:p>
    <w:p>
      <w:pPr>
        <w:spacing w:after="60" w:line="264"/>
      </w:pPr>
      <w:r>
        <w:rPr>
          <w:b/>
          <w:bCs/>
          <w:sz w:val="20"/>
          <w:szCs w:val="20"/>
        </w:rPr>
        <w:t xml:space="preserve">6.1.2 Средства индивидуальной защиты в аварийных ситуациях (СИЗ аварийных бригад)</w:t>
      </w:r>
    </w:p>
    <w:p>
      <w:pPr>
        <w:spacing w:after="100" w:line="264"/>
      </w:pPr>
      <w:r>
        <w:rPr>
          <w:sz w:val="20"/>
          <w:szCs w:val="20"/>
        </w:rPr>
        <w:t xml:space="preserve">Для химразведки и руководителя работ — ПДУ-3 (в течение 20 минут). Для аварийных бригад — изолирующий защитный костюм КИХ-5 в комплекте с изолирующим противогазом ИП-4М или дыхательным аппаратом АСВ-2. При возгорании — огнезащитный костюм в комплекте с самоспасателем СПИ-20.</w:t>
      </w:r>
    </w:p>
    <w:p>
      <w:pPr>
        <w:spacing w:after="60" w:line="264"/>
      </w:pPr>
      <w:r>
        <w:rPr>
          <w:b/>
          <w:bCs/>
          <w:sz w:val="20"/>
          <w:szCs w:val="20"/>
        </w:rPr>
        <w:t xml:space="preserve">6.2.1 Действия при утечке, разливе, россыпи</w:t>
      </w:r>
    </w:p>
    <w:p>
      <w:pPr>
        <w:spacing w:after="100" w:line="264"/>
      </w:pPr>
      <w:r>
        <w:rPr>
          <w:sz w:val="20"/>
          <w:szCs w:val="20"/>
        </w:rPr>
        <w:t xml:space="preserve">Сообщить в органы санитарно-эпидемиологического надзора. Прекратить движение транспортных средств и маневровую работу в опасной зоне. Не прикасаться к пролитому веществу. Устранить течь с соблюдением мер предосторожности. Перекачать содержимое в исправную защищённую от коррозии ёмкость или ёмкость для слива с соблюдением условий смешения жидкостей. Проливы оградить земляным валом. Не допускать попадания вещества в водоёмы, подвалы, канализацию.</w:t>
      </w:r>
    </w:p>
    <w:p>
      <w:pPr>
        <w:spacing w:after="60" w:line="264"/>
      </w:pPr>
      <w:r>
        <w:rPr>
          <w:b/>
          <w:bCs/>
          <w:sz w:val="20"/>
          <w:szCs w:val="20"/>
        </w:rPr>
        <w:t xml:space="preserve">6.2.2 Действия при пожаре</w:t>
      </w:r>
    </w:p>
    <w:p>
      <w:pPr>
        <w:spacing w:after="100" w:line="264"/>
      </w:pPr>
      <w:r>
        <w:rPr>
          <w:sz w:val="20"/>
          <w:szCs w:val="20"/>
        </w:rPr>
        <w:t xml:space="preserve">Не приближаться к горящим ёмкостям. Охлаждать ёмкости водой с максимального расстояния. Тушить тонкораспылённой водой, воздушно-механической и химическими пенами с максимального расстояния. Организовать эвакуацию людей из близлежащих зданий с учётом направления движения токсичных продуктов горения.</w:t>
      </w:r>
    </w:p>
    <w:p>
      <w:pPr>
        <w:spacing w:after="200"/>
      </w:pPr>
    </w:p>
    <w:tbl>
      <w:tblPr>
        <w:tblW w:type="dxa" w:w="9906"/>
        <w:tblBorders>
          <w:top w:val="none"/>
          <w:left w:val="none"/>
          <w:bottom w:val="none"/>
          <w:right w:val="none"/>
          <w:insideH w:val="none"/>
          <w:insideV w:val="none"/>
        </w:tblBorders>
      </w:tblPr>
      <w:tblGrid>
        <w:gridCol w:w="9906"/>
      </w:tblGrid>
      <w:tr>
        <w:tc>
          <w:tcPr>
            <w:tcW w:type="dxa" w:w="9906"/>
            <w:shd w:fill="1F3864" w:color="auto" w:val="clear"/>
            <w:tcMar>
              <w:top w:type="dxa" w:w="100"/>
              <w:left w:type="dxa" w:w="150"/>
              <w:bottom w:type="dxa" w:w="100"/>
              <w:right w:type="dxa" w:w="150"/>
            </w:tcMar>
          </w:tcPr>
          <w:p>
            <w:pPr>
              <w:spacing w:after="0"/>
            </w:pPr>
            <w:r>
              <w:rPr>
                <w:b/>
                <w:bCs/>
                <w:color w:val="FFFFFF"/>
                <w:sz w:val="22"/>
                <w:szCs w:val="22"/>
              </w:rPr>
              <w:t xml:space="preserve">РАЗДЕЛ 7: ПРАВИЛА ХРАНЕНИЯ ХИМИЧЕСКОЙ ПРОДУКЦИИ И ОБРАЩЕНИЯ С НЕЙ ПРИ ПОГРУЗОЧНО-РАЗГРУЗОЧНЫХ РАБОТАХ</w:t>
            </w:r>
          </w:p>
        </w:tc>
      </w:tr>
    </w:tbl>
    <w:p>
      <w:pPr>
        <w:spacing w:after="120"/>
      </w:pPr>
    </w:p>
    <w:p>
      <w:pPr>
        <w:spacing w:after="60" w:line="264"/>
      </w:pPr>
      <w:r>
        <w:rPr>
          <w:b/>
          <w:bCs/>
          <w:sz w:val="20"/>
          <w:szCs w:val="20"/>
        </w:rPr>
        <w:t xml:space="preserve">7.1.1 Системы инженерных мер безопасности</w:t>
      </w:r>
    </w:p>
    <w:p>
      <w:pPr>
        <w:spacing w:after="100" w:line="264"/>
      </w:pPr>
      <w:r>
        <w:rPr>
          <w:sz w:val="20"/>
          <w:szCs w:val="20"/>
        </w:rPr>
        <w:t xml:space="preserve">Приточно-вытяжная вентиляция производственных помещений и местные отсосы в местах наибольшего загрязнения воздуха; герметичность оборудования и коммуникаций; использование индивидуальных средств защиты работающих; систематический контроль состояния воздуха в рабочих помещениях; соблюдение норм и правил охраны труда и пожарной безопасности.</w:t>
      </w:r>
    </w:p>
    <w:p>
      <w:pPr>
        <w:spacing w:after="60" w:line="264"/>
      </w:pPr>
      <w:r>
        <w:rPr>
          <w:b/>
          <w:bCs/>
          <w:sz w:val="20"/>
          <w:szCs w:val="20"/>
        </w:rPr>
        <w:t xml:space="preserve">7.1.2 Меры по защите окружающей среды</w:t>
      </w:r>
    </w:p>
    <w:p>
      <w:pPr>
        <w:spacing w:after="100" w:line="264"/>
      </w:pPr>
      <w:r>
        <w:rPr>
          <w:sz w:val="20"/>
          <w:szCs w:val="20"/>
        </w:rPr>
        <w:t xml:space="preserve">Максимальная герметизация ёмкостей, коммуникаций и другого оборудования; периодический контроль содержания вредных веществ в воздухе рабочей зоны; анализ промышленных стоков на содержание в них вредных веществ в допустимых концентрациях; очистка воздуха производственных помещений до установленных норм перед сбросом в атмосферу.</w:t>
      </w:r>
    </w:p>
    <w:p>
      <w:pPr>
        <w:spacing w:after="60" w:line="264"/>
      </w:pPr>
      <w:r>
        <w:rPr>
          <w:b/>
          <w:bCs/>
          <w:sz w:val="20"/>
          <w:szCs w:val="20"/>
        </w:rPr>
        <w:t xml:space="preserve">7.1.3 Рекомендации по безопасному перемещению и перевозке</w:t>
      </w:r>
    </w:p>
    <w:p>
      <w:pPr>
        <w:spacing w:after="100" w:line="264"/>
      </w:pPr>
      <w:r>
        <w:rPr>
          <w:sz w:val="20"/>
          <w:szCs w:val="20"/>
        </w:rPr>
        <w:t xml:space="preserve">Система «SIPP-2K PU» перевозится ж/д транспортом в крытых вагонах повагонными отправками и универсальных контейнерах в соответствии с Правилами перевозок опасных грузов по железным дорогам, с учётом требований ГОСТ 22235-76 и Технических условий размещения и крепления грузов в вагонах и контейнерах. Автомобильным транспортом система «SIPP-2K PU» транспортируется в соответствии с Правилами перевозки грузов автотранспортными средствами.</w:t>
      </w:r>
    </w:p>
    <w:p>
      <w:pPr>
        <w:spacing w:after="60" w:line="264"/>
      </w:pPr>
      <w:r>
        <w:rPr>
          <w:b/>
          <w:bCs/>
          <w:sz w:val="20"/>
          <w:szCs w:val="20"/>
        </w:rPr>
        <w:t xml:space="preserve">7.2.1 Условия и сроки безопасного хранения</w:t>
      </w:r>
    </w:p>
    <w:p>
      <w:pPr>
        <w:spacing w:after="100" w:line="264"/>
      </w:pPr>
      <w:r>
        <w:rPr>
          <w:sz w:val="20"/>
          <w:szCs w:val="20"/>
        </w:rPr>
        <w:t xml:space="preserve">Компоненты системы «SIPP-2K PU» хранятся в крытых складских помещениях при температуре от +5°C до +30°C в условиях, исключающих попадание влаги, загрязнений и прямых солнечных лучей. Допускается хранение продуктов под навесом или на площадке, защищённой от атмосферных осадков, загрязняющих веществ, механических повреждений и прямых солнечных лучей. Гарантийный срок хранения, при соблюдении правил ТУ, — двенадцать месяцев со дня изготовления. По истечении указанного срока хранения продукт анализируют перед каждым применением на соответствие требованиям ТУ, и при условии соответствия продукт может быть использован потребителем по назначению.</w:t>
      </w:r>
    </w:p>
    <w:p>
      <w:pPr>
        <w:spacing w:after="60" w:line="264"/>
      </w:pPr>
      <w:r>
        <w:rPr>
          <w:b/>
          <w:bCs/>
          <w:sz w:val="20"/>
          <w:szCs w:val="20"/>
        </w:rPr>
        <w:t xml:space="preserve">7.2.2 Тара и упаковка</w:t>
      </w:r>
    </w:p>
    <w:p>
      <w:pPr>
        <w:spacing w:after="100" w:line="264"/>
      </w:pPr>
      <w:r>
        <w:rPr>
          <w:sz w:val="20"/>
          <w:szCs w:val="20"/>
        </w:rPr>
        <w:t xml:space="preserve">Основа клея (компонент А) расфасовывается в пластиковые вёдра по 5, 10 или 20 л. Отвердитель (компонент Б) разливается в пластиковые флаконы ёмкостью 1 л.</w:t>
      </w:r>
    </w:p>
    <w:p>
      <w:pPr>
        <w:spacing w:after="60" w:line="264"/>
      </w:pPr>
      <w:r>
        <w:rPr>
          <w:b/>
          <w:bCs/>
          <w:sz w:val="20"/>
          <w:szCs w:val="20"/>
        </w:rPr>
        <w:t xml:space="preserve">7.3 Меры безопасности и правила хранения в быту</w:t>
      </w:r>
    </w:p>
    <w:p>
      <w:pPr>
        <w:spacing w:after="100" w:line="264"/>
      </w:pPr>
      <w:r>
        <w:rPr>
          <w:sz w:val="20"/>
          <w:szCs w:val="20"/>
        </w:rPr>
        <w:t xml:space="preserve">Хранить в плотно закрытой/герметичной упаковке в недоступном для детей и животных месте, вдали от пищевых продуктов на расстоянии не менее 1 м от нагревательных приборов.</w:t>
      </w:r>
    </w:p>
    <w:p>
      <w:pPr>
        <w:spacing w:after="200"/>
      </w:pPr>
    </w:p>
    <w:tbl>
      <w:tblPr>
        <w:tblW w:type="dxa" w:w="9906"/>
        <w:tblBorders>
          <w:top w:val="none"/>
          <w:left w:val="none"/>
          <w:bottom w:val="none"/>
          <w:right w:val="none"/>
          <w:insideH w:val="none"/>
          <w:insideV w:val="none"/>
        </w:tblBorders>
      </w:tblPr>
      <w:tblGrid>
        <w:gridCol w:w="9906"/>
      </w:tblGrid>
      <w:tr>
        <w:tc>
          <w:tcPr>
            <w:tcW w:type="dxa" w:w="9906"/>
            <w:shd w:fill="1F3864" w:color="auto" w:val="clear"/>
            <w:tcMar>
              <w:top w:type="dxa" w:w="100"/>
              <w:left w:type="dxa" w:w="150"/>
              <w:bottom w:type="dxa" w:w="100"/>
              <w:right w:type="dxa" w:w="150"/>
            </w:tcMar>
          </w:tcPr>
          <w:p>
            <w:pPr>
              <w:spacing w:after="0"/>
            </w:pPr>
            <w:r>
              <w:rPr>
                <w:b/>
                <w:bCs/>
                <w:color w:val="FFFFFF"/>
                <w:sz w:val="22"/>
                <w:szCs w:val="22"/>
              </w:rPr>
              <w:t xml:space="preserve">РАЗДЕЛ 8: СРЕДСТВА КОНТРОЛЯ ЗА ОПАСНЫМ ВОЗДЕЙСТВИЕМ И СРЕДСТВА ИНДИВИДУАЛЬНОЙ ЗАЩИТЫ</w:t>
            </w:r>
          </w:p>
        </w:tc>
      </w:tr>
    </w:tbl>
    <w:p>
      <w:pPr>
        <w:spacing w:after="120"/>
      </w:pPr>
    </w:p>
    <w:p>
      <w:pPr>
        <w:spacing w:after="60" w:line="264"/>
      </w:pPr>
      <w:r>
        <w:rPr>
          <w:b/>
          <w:bCs/>
          <w:sz w:val="20"/>
          <w:szCs w:val="20"/>
        </w:rPr>
        <w:t xml:space="preserve">8.1 Параметры рабочей зоны, подлежащие обязательному контролю</w:t>
      </w:r>
    </w:p>
    <w:p>
      <w:pPr>
        <w:spacing w:after="100" w:line="264"/>
      </w:pPr>
      <w:r>
        <w:rPr>
          <w:sz w:val="20"/>
          <w:szCs w:val="20"/>
        </w:rPr>
        <w:t xml:space="preserve">Компонент А (основа): мел, ПДК р.з. = -/6 (а) мг/м³. Компонент Б (отвердитель): полимерный дифенилметандиизоцианат, ПДК р.з. = 0,5 (п+а) мг/м³.</w:t>
      </w:r>
    </w:p>
    <w:p>
      <w:pPr>
        <w:spacing w:after="60" w:line="264"/>
      </w:pPr>
      <w:r>
        <w:rPr>
          <w:b/>
          <w:bCs/>
          <w:sz w:val="20"/>
          <w:szCs w:val="20"/>
        </w:rPr>
        <w:t xml:space="preserve">8.2 Меры обеспечения содержания вредных веществ в допустимых концентрациях</w:t>
      </w:r>
    </w:p>
    <w:p>
      <w:pPr>
        <w:spacing w:after="100" w:line="264"/>
      </w:pPr>
      <w:r>
        <w:rPr>
          <w:sz w:val="20"/>
          <w:szCs w:val="20"/>
        </w:rPr>
        <w:t xml:space="preserve">Приточно-вытяжная и местная системы вентиляции, а также обеспечение возможности естественного проветривания помещений. Герметичность оборудования и ёмкостей. Периодический контроль содержания вредных веществ в воздухе рабочей зоны. Своевременная уборка помещений. Лабораторные работы проводить только в вытяжном шкафу при работающей вентиляции.</w:t>
      </w:r>
    </w:p>
    <w:p>
      <w:pPr>
        <w:spacing w:after="60" w:line="264"/>
      </w:pPr>
      <w:r>
        <w:rPr>
          <w:b/>
          <w:bCs/>
          <w:sz w:val="20"/>
          <w:szCs w:val="20"/>
        </w:rPr>
        <w:t xml:space="preserve">8.3.1 Общие рекомендации</w:t>
      </w:r>
    </w:p>
    <w:p>
      <w:pPr>
        <w:spacing w:after="100" w:line="264"/>
      </w:pPr>
      <w:r>
        <w:rPr>
          <w:sz w:val="20"/>
          <w:szCs w:val="20"/>
        </w:rPr>
        <w:t xml:space="preserve">Исключить прямой контакт персонала с продуктом. Не курить, не принимать пищу в помещениях, где используется и хранится продукт. Перед едой тщательно мыть руки. Не использовать для приёма пищи и питья химическую посуду. После работы принять душ. Проводить предварительные при поступлении на работу и периодические медицинские осмотры персонала, привлекаемого к работе.</w:t>
      </w:r>
    </w:p>
    <w:p>
      <w:pPr>
        <w:spacing w:after="60" w:line="264"/>
      </w:pPr>
      <w:r>
        <w:rPr>
          <w:b/>
          <w:bCs/>
          <w:sz w:val="20"/>
          <w:szCs w:val="20"/>
        </w:rPr>
        <w:t xml:space="preserve">8.3.2 Защита органов дыхания (типы СИЗОД)</w:t>
      </w:r>
    </w:p>
    <w:p>
      <w:pPr>
        <w:spacing w:after="100" w:line="264"/>
      </w:pPr>
      <w:r>
        <w:rPr>
          <w:sz w:val="20"/>
          <w:szCs w:val="20"/>
        </w:rPr>
        <w:t xml:space="preserve">Универсальные респираторы типа РПГ-67, РУ-60 с патроном марки B или промышленный противогаз с патроном марки B.</w:t>
      </w:r>
    </w:p>
    <w:p>
      <w:pPr>
        <w:spacing w:after="60" w:line="264"/>
      </w:pPr>
      <w:r>
        <w:rPr>
          <w:b/>
          <w:bCs/>
          <w:sz w:val="20"/>
          <w:szCs w:val="20"/>
        </w:rPr>
        <w:t xml:space="preserve">8.3.3 Средства защиты (материал, тип)</w:t>
      </w:r>
    </w:p>
    <w:p>
      <w:pPr>
        <w:spacing w:after="100" w:line="264"/>
      </w:pPr>
      <w:r>
        <w:rPr>
          <w:sz w:val="20"/>
          <w:szCs w:val="20"/>
        </w:rPr>
        <w:t xml:space="preserve">Для защиты глаз — герметичные очки; для защиты рук — перчатки резиновые, перчатки из поливинилхлорида, полиэтилена, полиэфирных пластиков; сапоги, халаты, костюмы, фартуки.</w:t>
      </w:r>
    </w:p>
    <w:p>
      <w:pPr>
        <w:spacing w:after="60" w:line="264"/>
      </w:pPr>
      <w:r>
        <w:rPr>
          <w:b/>
          <w:bCs/>
          <w:sz w:val="20"/>
          <w:szCs w:val="20"/>
        </w:rPr>
        <w:t xml:space="preserve">8.3.4 Средства индивидуальной защиты при использовании в быту</w:t>
      </w:r>
    </w:p>
    <w:p>
      <w:pPr>
        <w:spacing w:after="100" w:line="264"/>
      </w:pPr>
      <w:r>
        <w:rPr>
          <w:sz w:val="20"/>
          <w:szCs w:val="20"/>
        </w:rPr>
        <w:t xml:space="preserve">Резиновые перчатки.</w:t>
      </w:r>
    </w:p>
    <w:p>
      <w:pPr>
        <w:spacing w:after="200"/>
      </w:pPr>
    </w:p>
    <w:tbl>
      <w:tblPr>
        <w:tblW w:type="dxa" w:w="9906"/>
        <w:tblBorders>
          <w:top w:val="none"/>
          <w:left w:val="none"/>
          <w:bottom w:val="none"/>
          <w:right w:val="none"/>
          <w:insideH w:val="none"/>
          <w:insideV w:val="none"/>
        </w:tblBorders>
      </w:tblPr>
      <w:tblGrid>
        <w:gridCol w:w="9906"/>
      </w:tblGrid>
      <w:tr>
        <w:tc>
          <w:tcPr>
            <w:tcW w:type="dxa" w:w="9906"/>
            <w:shd w:fill="1F3864" w:color="auto" w:val="clear"/>
            <w:tcMar>
              <w:top w:type="dxa" w:w="100"/>
              <w:left w:type="dxa" w:w="150"/>
              <w:bottom w:type="dxa" w:w="100"/>
              <w:right w:type="dxa" w:w="150"/>
            </w:tcMar>
          </w:tcPr>
          <w:p>
            <w:pPr>
              <w:spacing w:after="0"/>
            </w:pPr>
            <w:r>
              <w:rPr>
                <w:b/>
                <w:bCs/>
                <w:color w:val="FFFFFF"/>
                <w:sz w:val="22"/>
                <w:szCs w:val="22"/>
              </w:rPr>
              <w:t xml:space="preserve">РАЗДЕЛ 9: ФИЗИКО-ХИМИЧЕСКИЕ СВОЙСТВА</w:t>
            </w:r>
          </w:p>
        </w:tc>
      </w:tr>
    </w:tbl>
    <w:p>
      <w:pPr>
        <w:spacing w:after="120"/>
      </w:pPr>
    </w:p>
    <w:p>
      <w:pPr>
        <w:spacing w:after="60" w:line="264"/>
      </w:pPr>
      <w:r>
        <w:rPr>
          <w:b/>
          <w:bCs/>
          <w:sz w:val="20"/>
          <w:szCs w:val="20"/>
        </w:rPr>
        <w:t xml:space="preserve">9.1 Физическое состояние</w:t>
      </w:r>
    </w:p>
    <w:p>
      <w:pPr>
        <w:spacing w:after="100" w:line="264"/>
      </w:pPr>
      <w:r>
        <w:rPr>
          <w:sz w:val="20"/>
          <w:szCs w:val="20"/>
        </w:rPr>
        <w:t xml:space="preserve">Компонент А (основа): внешний вид — однородная густая масса кремового цвета. Компонент Б (отвердитель): внешний вид — однородная тёмно-коричневая жидкость.</w:t>
      </w:r>
    </w:p>
    <w:p>
      <w:pPr>
        <w:spacing w:after="60" w:line="264"/>
      </w:pPr>
      <w:r>
        <w:rPr>
          <w:b/>
          <w:bCs/>
          <w:sz w:val="20"/>
          <w:szCs w:val="20"/>
        </w:rPr>
        <w:t xml:space="preserve">9.2 Параметры, характеризующие основные свойства продукции</w:t>
      </w:r>
    </w:p>
    <w:tbl>
      <w:tblPr>
        <w:tblW w:type="dxa" w:w="9906"/>
        <w:tblBorders>
          <w:top w:val="single" w:color="8EA9DB" w:sz="4"/>
          <w:left w:val="single" w:color="8EA9DB" w:sz="4"/>
          <w:bottom w:val="single" w:color="8EA9DB" w:sz="4"/>
          <w:right w:val="single" w:color="8EA9DB" w:sz="4"/>
          <w:insideH w:val="single" w:color="8EA9DB" w:sz="4"/>
          <w:insideV w:val="single" w:color="8EA9DB" w:sz="4"/>
        </w:tblBorders>
      </w:tblPr>
      <w:tblGrid>
        <w:gridCol w:w="4200"/>
        <w:gridCol w:w="2913"/>
        <w:gridCol w:w="2913"/>
      </w:tblGrid>
      <w:tr>
        <w:trPr>
          <w:tblHeader/>
        </w:trPr>
        <w:tc>
          <w:tcPr>
            <w:tcW w:type="dxa" w:w="4200"/>
            <w:shd w:fill="D9E2F3" w:color="auto" w:val="clear"/>
            <w:tcMar>
              <w:top w:type="dxa" w:w="60"/>
              <w:left w:type="dxa" w:w="100"/>
              <w:bottom w:type="dxa" w:w="60"/>
              <w:right w:type="dxa" w:w="100"/>
            </w:tcMar>
            <w:vAlign w:val="center"/>
          </w:tcPr>
          <w:p>
            <w:pPr>
              <w:spacing w:after="0" w:line="264"/>
            </w:pPr>
            <w:r>
              <w:rPr>
                <w:b/>
                <w:bCs/>
                <w:sz w:val="18"/>
                <w:szCs w:val="18"/>
              </w:rPr>
              <w:t xml:space="preserve">Показатель</w:t>
            </w:r>
          </w:p>
        </w:tc>
        <w:tc>
          <w:tcPr>
            <w:tcW w:type="dxa" w:w="2913"/>
            <w:shd w:fill="D9E2F3" w:color="auto" w:val="clear"/>
            <w:tcMar>
              <w:top w:type="dxa" w:w="60"/>
              <w:left w:type="dxa" w:w="100"/>
              <w:bottom w:type="dxa" w:w="60"/>
              <w:right w:type="dxa" w:w="100"/>
            </w:tcMar>
            <w:vAlign w:val="center"/>
          </w:tcPr>
          <w:p>
            <w:pPr>
              <w:spacing w:after="0" w:line="264"/>
            </w:pPr>
            <w:r>
              <w:rPr>
                <w:b/>
                <w:bCs/>
                <w:sz w:val="18"/>
                <w:szCs w:val="18"/>
              </w:rPr>
              <w:t xml:space="preserve">Компонент А (основа)</w:t>
            </w:r>
          </w:p>
        </w:tc>
        <w:tc>
          <w:tcPr>
            <w:tcW w:type="dxa" w:w="2913"/>
            <w:shd w:fill="D9E2F3" w:color="auto" w:val="clear"/>
            <w:tcMar>
              <w:top w:type="dxa" w:w="60"/>
              <w:left w:type="dxa" w:w="100"/>
              <w:bottom w:type="dxa" w:w="60"/>
              <w:right w:type="dxa" w:w="100"/>
            </w:tcMar>
            <w:vAlign w:val="center"/>
          </w:tcPr>
          <w:p>
            <w:pPr>
              <w:spacing w:after="0" w:line="264"/>
            </w:pPr>
            <w:r>
              <w:rPr>
                <w:b/>
                <w:bCs/>
                <w:sz w:val="18"/>
                <w:szCs w:val="18"/>
              </w:rPr>
              <w:t xml:space="preserve">Компонент Б (отвердитель)</w:t>
            </w:r>
          </w:p>
        </w:tc>
      </w:tr>
      <w:tr>
        <w:tc>
          <w:tcPr>
            <w:tcW w:type="dxa" w:w="4200"/>
            <w:tcMar>
              <w:top w:type="dxa" w:w="60"/>
              <w:left w:type="dxa" w:w="100"/>
              <w:bottom w:type="dxa" w:w="60"/>
              <w:right w:type="dxa" w:w="100"/>
            </w:tcMar>
            <w:vAlign w:val="top"/>
          </w:tcPr>
          <w:p>
            <w:pPr>
              <w:spacing w:after="0" w:line="264"/>
            </w:pPr>
            <w:r>
              <w:rPr>
                <w:sz w:val="18"/>
                <w:szCs w:val="18"/>
              </w:rPr>
              <w:t xml:space="preserve">Вязкость (Брукфильд, шп.3, 25°C), не более</w:t>
            </w:r>
          </w:p>
        </w:tc>
        <w:tc>
          <w:tcPr>
            <w:tcW w:type="dxa" w:w="2913"/>
            <w:tcMar>
              <w:top w:type="dxa" w:w="60"/>
              <w:left w:type="dxa" w:w="100"/>
              <w:bottom w:type="dxa" w:w="60"/>
              <w:right w:type="dxa" w:w="100"/>
            </w:tcMar>
            <w:vAlign w:val="top"/>
          </w:tcPr>
          <w:p>
            <w:pPr>
              <w:spacing w:after="0" w:line="264"/>
            </w:pPr>
            <w:r>
              <w:rPr>
                <w:sz w:val="18"/>
                <w:szCs w:val="18"/>
              </w:rPr>
              <w:t xml:space="preserve">150–250 Па·с</w:t>
            </w:r>
          </w:p>
        </w:tc>
        <w:tc>
          <w:tcPr>
            <w:tcW w:type="dxa" w:w="2913"/>
            <w:tcMar>
              <w:top w:type="dxa" w:w="60"/>
              <w:left w:type="dxa" w:w="100"/>
              <w:bottom w:type="dxa" w:w="60"/>
              <w:right w:type="dxa" w:w="100"/>
            </w:tcMar>
            <w:vAlign w:val="top"/>
          </w:tcPr>
          <w:p>
            <w:pPr>
              <w:spacing w:after="0" w:line="264"/>
            </w:pPr>
            <w:r>
              <w:rPr>
                <w:sz w:val="18"/>
                <w:szCs w:val="18"/>
              </w:rPr>
              <w:t xml:space="preserve">0,15–0,25 Па·с</w:t>
            </w:r>
          </w:p>
        </w:tc>
      </w:tr>
      <w:tr>
        <w:tc>
          <w:tcPr>
            <w:tcW w:type="dxa" w:w="4200"/>
            <w:tcMar>
              <w:top w:type="dxa" w:w="60"/>
              <w:left w:type="dxa" w:w="100"/>
              <w:bottom w:type="dxa" w:w="60"/>
              <w:right w:type="dxa" w:w="100"/>
            </w:tcMar>
            <w:vAlign w:val="top"/>
          </w:tcPr>
          <w:p>
            <w:pPr>
              <w:spacing w:after="0" w:line="264"/>
            </w:pPr>
            <w:r>
              <w:rPr>
                <w:sz w:val="18"/>
                <w:szCs w:val="18"/>
              </w:rPr>
              <w:t xml:space="preserve">Плотность (25°C)</w:t>
            </w:r>
          </w:p>
        </w:tc>
        <w:tc>
          <w:tcPr>
            <w:tcW w:type="dxa" w:w="2913"/>
            <w:tcMar>
              <w:top w:type="dxa" w:w="60"/>
              <w:left w:type="dxa" w:w="100"/>
              <w:bottom w:type="dxa" w:w="60"/>
              <w:right w:type="dxa" w:w="100"/>
            </w:tcMar>
            <w:vAlign w:val="top"/>
          </w:tcPr>
          <w:p>
            <w:pPr>
              <w:spacing w:after="0" w:line="264"/>
            </w:pPr>
            <w:r>
              <w:rPr>
                <w:sz w:val="18"/>
                <w:szCs w:val="18"/>
              </w:rPr>
              <w:t xml:space="preserve">1,5 – 1,65 г/м³</w:t>
            </w:r>
          </w:p>
        </w:tc>
        <w:tc>
          <w:tcPr>
            <w:tcW w:type="dxa" w:w="2913"/>
            <w:tcMar>
              <w:top w:type="dxa" w:w="60"/>
              <w:left w:type="dxa" w:w="100"/>
              <w:bottom w:type="dxa" w:w="60"/>
              <w:right w:type="dxa" w:w="100"/>
            </w:tcMar>
            <w:vAlign w:val="top"/>
          </w:tcPr>
          <w:p>
            <w:pPr>
              <w:spacing w:after="0" w:line="264"/>
            </w:pPr>
            <w:r>
              <w:rPr>
                <w:sz w:val="18"/>
                <w:szCs w:val="18"/>
              </w:rPr>
              <w:t xml:space="preserve">1,2 – 1,25 г/м³</w:t>
            </w:r>
          </w:p>
        </w:tc>
      </w:tr>
    </w:tbl>
    <w:p>
      <w:pPr>
        <w:spacing w:after="200"/>
      </w:pPr>
    </w:p>
    <w:tbl>
      <w:tblPr>
        <w:tblW w:type="dxa" w:w="9906"/>
        <w:tblBorders>
          <w:top w:val="none"/>
          <w:left w:val="none"/>
          <w:bottom w:val="none"/>
          <w:right w:val="none"/>
          <w:insideH w:val="none"/>
          <w:insideV w:val="none"/>
        </w:tblBorders>
      </w:tblPr>
      <w:tblGrid>
        <w:gridCol w:w="9906"/>
      </w:tblGrid>
      <w:tr>
        <w:tc>
          <w:tcPr>
            <w:tcW w:type="dxa" w:w="9906"/>
            <w:shd w:fill="1F3864" w:color="auto" w:val="clear"/>
            <w:tcMar>
              <w:top w:type="dxa" w:w="100"/>
              <w:left w:type="dxa" w:w="150"/>
              <w:bottom w:type="dxa" w:w="100"/>
              <w:right w:type="dxa" w:w="150"/>
            </w:tcMar>
          </w:tcPr>
          <w:p>
            <w:pPr>
              <w:spacing w:after="0"/>
            </w:pPr>
            <w:r>
              <w:rPr>
                <w:b/>
                <w:bCs/>
                <w:color w:val="FFFFFF"/>
                <w:sz w:val="22"/>
                <w:szCs w:val="22"/>
              </w:rPr>
              <w:t xml:space="preserve">РАЗДЕЛ 10: СТАБИЛЬНОСТЬ И РЕАКЦИОННАЯ СПОСОБНОСТЬ</w:t>
            </w:r>
          </w:p>
        </w:tc>
      </w:tr>
    </w:tbl>
    <w:p>
      <w:pPr>
        <w:spacing w:after="120"/>
      </w:pPr>
    </w:p>
    <w:p>
      <w:pPr>
        <w:spacing w:after="60" w:line="264"/>
      </w:pPr>
      <w:r>
        <w:rPr>
          <w:b/>
          <w:bCs/>
          <w:sz w:val="20"/>
          <w:szCs w:val="20"/>
        </w:rPr>
        <w:t xml:space="preserve">10.1 Химическая стабильность</w:t>
      </w:r>
    </w:p>
    <w:p>
      <w:pPr>
        <w:spacing w:after="100" w:line="264"/>
      </w:pPr>
      <w:r>
        <w:rPr>
          <w:sz w:val="20"/>
          <w:szCs w:val="20"/>
        </w:rPr>
        <w:t xml:space="preserve">Стабилен при нормальных условиях.</w:t>
      </w:r>
    </w:p>
    <w:p>
      <w:pPr>
        <w:spacing w:after="60" w:line="264"/>
      </w:pPr>
      <w:r>
        <w:rPr>
          <w:b/>
          <w:bCs/>
          <w:sz w:val="20"/>
          <w:szCs w:val="20"/>
        </w:rPr>
        <w:t xml:space="preserve">10.2 Реакционная способность</w:t>
      </w:r>
    </w:p>
    <w:p>
      <w:pPr>
        <w:spacing w:after="100" w:line="264"/>
      </w:pPr>
      <w:r>
        <w:rPr>
          <w:sz w:val="20"/>
          <w:szCs w:val="20"/>
        </w:rPr>
        <w:t xml:space="preserve">Сведения отсутствуют.</w:t>
      </w:r>
    </w:p>
    <w:p>
      <w:pPr>
        <w:spacing w:after="60" w:line="264"/>
      </w:pPr>
      <w:r>
        <w:rPr>
          <w:b/>
          <w:bCs/>
          <w:sz w:val="20"/>
          <w:szCs w:val="20"/>
        </w:rPr>
        <w:t xml:space="preserve">10.3 Условия, которых следует избегать</w:t>
      </w:r>
    </w:p>
    <w:p>
      <w:pPr>
        <w:spacing w:after="100" w:line="264"/>
      </w:pPr>
      <w:r>
        <w:rPr>
          <w:sz w:val="20"/>
          <w:szCs w:val="20"/>
        </w:rPr>
        <w:t xml:space="preserve">Избегать нарушения герметичности тары; воздействия открытого пламени, нагревательных приборов, искр, прямых солнечных лучей и контакта с несовместимыми веществами и материалами.</w:t>
      </w:r>
    </w:p>
    <w:p>
      <w:pPr>
        <w:spacing w:after="200"/>
      </w:pPr>
    </w:p>
    <w:tbl>
      <w:tblPr>
        <w:tblW w:type="dxa" w:w="9906"/>
        <w:tblBorders>
          <w:top w:val="none"/>
          <w:left w:val="none"/>
          <w:bottom w:val="none"/>
          <w:right w:val="none"/>
          <w:insideH w:val="none"/>
          <w:insideV w:val="none"/>
        </w:tblBorders>
      </w:tblPr>
      <w:tblGrid>
        <w:gridCol w:w="9906"/>
      </w:tblGrid>
      <w:tr>
        <w:tc>
          <w:tcPr>
            <w:tcW w:type="dxa" w:w="9906"/>
            <w:shd w:fill="1F3864" w:color="auto" w:val="clear"/>
            <w:tcMar>
              <w:top w:type="dxa" w:w="100"/>
              <w:left w:type="dxa" w:w="150"/>
              <w:bottom w:type="dxa" w:w="100"/>
              <w:right w:type="dxa" w:w="150"/>
            </w:tcMar>
          </w:tcPr>
          <w:p>
            <w:pPr>
              <w:spacing w:after="0"/>
            </w:pPr>
            <w:r>
              <w:rPr>
                <w:b/>
                <w:bCs/>
                <w:color w:val="FFFFFF"/>
                <w:sz w:val="22"/>
                <w:szCs w:val="22"/>
              </w:rPr>
              <w:t xml:space="preserve">РАЗДЕЛ 11: ТОКСИКОЛОГИЧЕСКАЯ ИНФОРМАЦИЯ</w:t>
            </w:r>
          </w:p>
        </w:tc>
      </w:tr>
    </w:tbl>
    <w:p>
      <w:pPr>
        <w:spacing w:after="120"/>
      </w:pPr>
    </w:p>
    <w:p>
      <w:pPr>
        <w:spacing w:after="60" w:line="264"/>
      </w:pPr>
      <w:r>
        <w:rPr>
          <w:b/>
          <w:bCs/>
          <w:sz w:val="20"/>
          <w:szCs w:val="20"/>
        </w:rPr>
        <w:t xml:space="preserve">11.1 Общая характеристика воздействия</w:t>
      </w:r>
    </w:p>
    <w:p>
      <w:pPr>
        <w:spacing w:after="100" w:line="264"/>
      </w:pPr>
      <w:r>
        <w:rPr>
          <w:sz w:val="20"/>
          <w:szCs w:val="20"/>
        </w:rPr>
        <w:t xml:space="preserve">Компонент А (основа): малоопасный продукт по степени воздействия на организм. При попадании в глаза вызывает выраженное раздражение. Компонент Б (отвердитель): высокоопасный продукт по степени воздействия на организм. При попадании на кожу вызывает раздражение. При контакте с кожей может вызывать аллергическую реакцию. При попадании в глаза вызывает выраженное раздражение. Вредно при вдыхании. При вдыхании может вызывать аллергическую реакцию (астму или затруднённое дыхание). Может вызывать раздражение верхних дыхательных путей. Предполагается, что данная химическая продукция вызывает раковые заболевания. Может поражать органы в результате многократного или продолжительного воздействия.</w:t>
      </w:r>
    </w:p>
    <w:p>
      <w:pPr>
        <w:spacing w:after="60" w:line="264"/>
      </w:pPr>
      <w:r>
        <w:rPr>
          <w:b/>
          <w:bCs/>
          <w:sz w:val="20"/>
          <w:szCs w:val="20"/>
        </w:rPr>
        <w:t xml:space="preserve">11.2 Пути воздействия</w:t>
      </w:r>
    </w:p>
    <w:p>
      <w:pPr>
        <w:spacing w:after="100" w:line="264"/>
      </w:pPr>
      <w:r>
        <w:rPr>
          <w:sz w:val="20"/>
          <w:szCs w:val="20"/>
        </w:rPr>
        <w:t xml:space="preserve">Пероральный, ингаляционный, при попадании на кожу и в глаза.</w:t>
      </w:r>
    </w:p>
    <w:p>
      <w:pPr>
        <w:spacing w:after="60" w:line="264"/>
      </w:pPr>
      <w:r>
        <w:rPr>
          <w:b/>
          <w:bCs/>
          <w:sz w:val="20"/>
          <w:szCs w:val="20"/>
        </w:rPr>
        <w:t xml:space="preserve">11.3 Поражаемые органы, ткани и системы человека</w:t>
      </w:r>
    </w:p>
    <w:p>
      <w:pPr>
        <w:spacing w:after="100" w:line="264"/>
      </w:pPr>
      <w:r>
        <w:rPr>
          <w:sz w:val="20"/>
          <w:szCs w:val="20"/>
        </w:rPr>
        <w:t xml:space="preserve">Компонент А (основа): центральная нервная система, печень, почки, желудочно-кишечный тракт. Компонент Б (отвердитель): дыхательная и центральная нервная системы, желудочно-кишечный тракт, печень, почки, морфологический состав периферической крови.</w:t>
      </w:r>
    </w:p>
    <w:p>
      <w:pPr>
        <w:spacing w:after="60" w:line="264"/>
      </w:pPr>
      <w:r>
        <w:rPr>
          <w:b/>
          <w:bCs/>
          <w:sz w:val="20"/>
          <w:szCs w:val="20"/>
        </w:rPr>
        <w:t xml:space="preserve">11.4 Сведения об опасных для здоровья воздействиях при непосредственном контакте с продукцией</w:t>
      </w:r>
    </w:p>
    <w:p>
      <w:pPr>
        <w:spacing w:after="100" w:line="264"/>
      </w:pPr>
      <w:r>
        <w:rPr>
          <w:sz w:val="20"/>
          <w:szCs w:val="20"/>
        </w:rPr>
        <w:t xml:space="preserve">Компонент А (основа): при попадании в глаза вызывает выраженное раздражение. Кожно-резорбтивное действие — не установлено. Сенсибилизирующее действие — не установлено. Компонент Б (отвердитель): при попадании на кожу вызывает раздражение. При контакте с кожей может вызывать аллергическую реакцию. При попадании в глаза вызывает выраженное раздражение. При вдыхании может вызывать аллергическую реакцию (астму или затруднённое дыхание). Может вызывать раздражение верхних дыхательных путей. Кожно-резорбтивное действие — не установлено. Сенсибилизирующее действие — установлено.</w:t>
      </w:r>
    </w:p>
    <w:p>
      <w:pPr>
        <w:spacing w:after="60" w:line="264"/>
      </w:pPr>
      <w:r>
        <w:rPr>
          <w:b/>
          <w:bCs/>
          <w:sz w:val="20"/>
          <w:szCs w:val="20"/>
        </w:rPr>
        <w:t xml:space="preserve">11.5 Сведения об опасных отдалённых последствиях воздействия продукции на организм</w:t>
      </w:r>
    </w:p>
    <w:p>
      <w:pPr>
        <w:spacing w:after="100" w:line="264"/>
      </w:pPr>
      <w:r>
        <w:rPr>
          <w:sz w:val="20"/>
          <w:szCs w:val="20"/>
        </w:rPr>
        <w:t xml:space="preserve">Компонент А (основа): мутагенное, канцерогенное, тератогенное, эмбриотоксическое, гонадотоксическое действие не установлены. Компонент Б (отвердитель): предполагается, что данная химическая продукция вызывает раковые заболевания. Мутагенное, тератогенное, эмбриотоксическое, гонадотоксическое действие не установлены.</w:t>
      </w:r>
    </w:p>
    <w:p>
      <w:pPr>
        <w:spacing w:after="60" w:line="264"/>
      </w:pPr>
      <w:r>
        <w:rPr>
          <w:b/>
          <w:bCs/>
          <w:sz w:val="20"/>
          <w:szCs w:val="20"/>
        </w:rPr>
        <w:t xml:space="preserve">11.6 Показатели острой токсичности</w:t>
      </w:r>
    </w:p>
    <w:p>
      <w:pPr>
        <w:spacing w:after="100" w:line="264"/>
      </w:pPr>
      <w:r>
        <w:rPr>
          <w:sz w:val="20"/>
          <w:szCs w:val="20"/>
        </w:rPr>
        <w:t xml:space="preserve">В целом по продукции отсутствует. Данные представлены по компонентам.</w:t>
      </w:r>
    </w:p>
    <w:tbl>
      <w:tblPr>
        <w:tblW w:type="dxa" w:w="9906"/>
        <w:tblBorders>
          <w:top w:val="single" w:color="8EA9DB" w:sz="4"/>
          <w:left w:val="single" w:color="8EA9DB" w:sz="4"/>
          <w:bottom w:val="single" w:color="8EA9DB" w:sz="4"/>
          <w:right w:val="single" w:color="8EA9DB" w:sz="4"/>
          <w:insideH w:val="single" w:color="8EA9DB" w:sz="4"/>
          <w:insideV w:val="single" w:color="8EA9DB" w:sz="4"/>
        </w:tblBorders>
      </w:tblPr>
      <w:tblGrid>
        <w:gridCol w:w="4200"/>
        <w:gridCol w:w="5826"/>
      </w:tblGrid>
      <w:tr>
        <w:trPr>
          <w:tblHeader/>
        </w:trPr>
        <w:tc>
          <w:tcPr>
            <w:tcW w:type="dxa" w:w="4200"/>
            <w:shd w:fill="D9E2F3" w:color="auto" w:val="clear"/>
            <w:tcMar>
              <w:top w:type="dxa" w:w="60"/>
              <w:left w:type="dxa" w:w="100"/>
              <w:bottom w:type="dxa" w:w="60"/>
              <w:right w:type="dxa" w:w="100"/>
            </w:tcMar>
            <w:vAlign w:val="center"/>
          </w:tcPr>
          <w:p>
            <w:pPr>
              <w:spacing w:after="0" w:line="264"/>
            </w:pPr>
            <w:r>
              <w:rPr>
                <w:b/>
                <w:bCs/>
                <w:sz w:val="18"/>
                <w:szCs w:val="18"/>
              </w:rPr>
              <w:t xml:space="preserve">Компонент / вещество</w:t>
            </w:r>
          </w:p>
        </w:tc>
        <w:tc>
          <w:tcPr>
            <w:tcW w:type="dxa" w:w="5826"/>
            <w:shd w:fill="D9E2F3" w:color="auto" w:val="clear"/>
            <w:tcMar>
              <w:top w:type="dxa" w:w="60"/>
              <w:left w:type="dxa" w:w="100"/>
              <w:bottom w:type="dxa" w:w="60"/>
              <w:right w:type="dxa" w:w="100"/>
            </w:tcMar>
            <w:vAlign w:val="center"/>
          </w:tcPr>
          <w:p>
            <w:pPr>
              <w:spacing w:after="0" w:line="264"/>
            </w:pPr>
            <w:r>
              <w:rPr>
                <w:b/>
                <w:bCs/>
                <w:sz w:val="18"/>
                <w:szCs w:val="18"/>
              </w:rPr>
              <w:t xml:space="preserve">Показатель</w:t>
            </w:r>
          </w:p>
        </w:tc>
      </w:tr>
      <w:tr>
        <w:tc>
          <w:tcPr>
            <w:tcW w:type="dxa" w:w="4200"/>
            <w:tcMar>
              <w:top w:type="dxa" w:w="60"/>
              <w:left w:type="dxa" w:w="100"/>
              <w:bottom w:type="dxa" w:w="60"/>
              <w:right w:type="dxa" w:w="100"/>
            </w:tcMar>
            <w:vAlign w:val="top"/>
          </w:tcPr>
          <w:p>
            <w:pPr>
              <w:spacing w:after="0" w:line="264"/>
            </w:pPr>
            <w:r>
              <w:rPr>
                <w:sz w:val="18"/>
                <w:szCs w:val="18"/>
              </w:rPr>
              <w:t xml:space="preserve">Компонент А — простой полиэфир на основе глицерина и окиси пропилена</w:t>
            </w:r>
          </w:p>
        </w:tc>
        <w:tc>
          <w:tcPr>
            <w:tcW w:type="dxa" w:w="5826"/>
            <w:tcMar>
              <w:top w:type="dxa" w:w="60"/>
              <w:left w:type="dxa" w:w="100"/>
              <w:bottom w:type="dxa" w:w="60"/>
              <w:right w:type="dxa" w:w="100"/>
            </w:tcMar>
            <w:vAlign w:val="top"/>
          </w:tcPr>
          <w:p>
            <w:pPr>
              <w:spacing w:after="0" w:line="264"/>
            </w:pPr>
            <w:r>
              <w:rPr>
                <w:sz w:val="18"/>
                <w:szCs w:val="18"/>
              </w:rPr>
              <w:t xml:space="preserve">LD50 &gt; 2000 мг/кг, в/ж, крыса; LD50 &gt; 2000 мг/кг, н/к, кролик</w:t>
            </w:r>
          </w:p>
        </w:tc>
      </w:tr>
      <w:tr>
        <w:tc>
          <w:tcPr>
            <w:tcW w:type="dxa" w:w="4200"/>
            <w:tcMar>
              <w:top w:type="dxa" w:w="60"/>
              <w:left w:type="dxa" w:w="100"/>
              <w:bottom w:type="dxa" w:w="60"/>
              <w:right w:type="dxa" w:w="100"/>
            </w:tcMar>
            <w:vAlign w:val="top"/>
          </w:tcPr>
          <w:p>
            <w:pPr>
              <w:spacing w:after="0" w:line="264"/>
            </w:pPr>
            <w:r>
              <w:rPr>
                <w:sz w:val="18"/>
                <w:szCs w:val="18"/>
              </w:rPr>
              <w:t xml:space="preserve">Компонент А — мел</w:t>
            </w:r>
          </w:p>
        </w:tc>
        <w:tc>
          <w:tcPr>
            <w:tcW w:type="dxa" w:w="5826"/>
            <w:tcMar>
              <w:top w:type="dxa" w:w="60"/>
              <w:left w:type="dxa" w:w="100"/>
              <w:bottom w:type="dxa" w:w="60"/>
              <w:right w:type="dxa" w:w="100"/>
            </w:tcMar>
            <w:vAlign w:val="top"/>
          </w:tcPr>
          <w:p>
            <w:pPr>
              <w:spacing w:after="0" w:line="264"/>
            </w:pPr>
            <w:r>
              <w:rPr>
                <w:sz w:val="18"/>
                <w:szCs w:val="18"/>
              </w:rPr>
              <w:t xml:space="preserve">LD50 &gt; 2000 мг/кг, в/ж, крыса; LC50 &gt; 3 мг/л, инг., крыса, 4 ч; LD50 &gt; 2000 мг/кг, н/к, крыса</w:t>
            </w:r>
          </w:p>
        </w:tc>
      </w:tr>
      <w:tr>
        <w:tc>
          <w:tcPr>
            <w:tcW w:type="dxa" w:w="4200"/>
            <w:tcMar>
              <w:top w:type="dxa" w:w="60"/>
              <w:left w:type="dxa" w:w="100"/>
              <w:bottom w:type="dxa" w:w="60"/>
              <w:right w:type="dxa" w:w="100"/>
            </w:tcMar>
            <w:vAlign w:val="top"/>
          </w:tcPr>
          <w:p>
            <w:pPr>
              <w:spacing w:after="0" w:line="264"/>
            </w:pPr>
            <w:r>
              <w:rPr>
                <w:sz w:val="18"/>
                <w:szCs w:val="18"/>
              </w:rPr>
              <w:t xml:space="preserve">Компонент Б — полимерный дифенилметандиизоцианат</w:t>
            </w:r>
          </w:p>
        </w:tc>
        <w:tc>
          <w:tcPr>
            <w:tcW w:type="dxa" w:w="5826"/>
            <w:tcMar>
              <w:top w:type="dxa" w:w="60"/>
              <w:left w:type="dxa" w:w="100"/>
              <w:bottom w:type="dxa" w:w="60"/>
              <w:right w:type="dxa" w:w="100"/>
            </w:tcMar>
            <w:vAlign w:val="top"/>
          </w:tcPr>
          <w:p>
            <w:pPr>
              <w:spacing w:after="0" w:line="264"/>
            </w:pPr>
            <w:r>
              <w:rPr>
                <w:sz w:val="18"/>
                <w:szCs w:val="18"/>
              </w:rPr>
              <w:t xml:space="preserve">LD50 = 49000 мг/кг, в/ж, крыса; LC50 = 0,49 мг/л, инг., крыса, 4 ч; LD50 &gt; 9400 мг/кг, н/к, кролик</w:t>
            </w:r>
          </w:p>
        </w:tc>
      </w:tr>
    </w:tbl>
    <w:p>
      <w:pPr>
        <w:spacing w:after="200"/>
      </w:pPr>
    </w:p>
    <w:tbl>
      <w:tblPr>
        <w:tblW w:type="dxa" w:w="9906"/>
        <w:tblBorders>
          <w:top w:val="none"/>
          <w:left w:val="none"/>
          <w:bottom w:val="none"/>
          <w:right w:val="none"/>
          <w:insideH w:val="none"/>
          <w:insideV w:val="none"/>
        </w:tblBorders>
      </w:tblPr>
      <w:tblGrid>
        <w:gridCol w:w="9906"/>
      </w:tblGrid>
      <w:tr>
        <w:tc>
          <w:tcPr>
            <w:tcW w:type="dxa" w:w="9906"/>
            <w:shd w:fill="1F3864" w:color="auto" w:val="clear"/>
            <w:tcMar>
              <w:top w:type="dxa" w:w="100"/>
              <w:left w:type="dxa" w:w="150"/>
              <w:bottom w:type="dxa" w:w="100"/>
              <w:right w:type="dxa" w:w="150"/>
            </w:tcMar>
          </w:tcPr>
          <w:p>
            <w:pPr>
              <w:spacing w:after="0"/>
            </w:pPr>
            <w:r>
              <w:rPr>
                <w:b/>
                <w:bCs/>
                <w:color w:val="FFFFFF"/>
                <w:sz w:val="22"/>
                <w:szCs w:val="22"/>
              </w:rPr>
              <w:t xml:space="preserve">РАЗДЕЛ 12: ИНФОРМАЦИЯ О ВОЗДЕЙСТВИИ НА ОКРУЖАЮЩУЮ СРЕДУ</w:t>
            </w:r>
          </w:p>
        </w:tc>
      </w:tr>
    </w:tbl>
    <w:p>
      <w:pPr>
        <w:spacing w:after="120"/>
      </w:pPr>
    </w:p>
    <w:p>
      <w:pPr>
        <w:spacing w:after="60" w:line="264"/>
      </w:pPr>
      <w:r>
        <w:rPr>
          <w:b/>
          <w:bCs/>
          <w:sz w:val="20"/>
          <w:szCs w:val="20"/>
        </w:rPr>
        <w:t xml:space="preserve">12.1 Общая характеристика воздействия на объекты окружающей среды</w:t>
      </w:r>
    </w:p>
    <w:p>
      <w:pPr>
        <w:spacing w:after="100" w:line="264"/>
      </w:pPr>
      <w:r>
        <w:rPr>
          <w:sz w:val="20"/>
          <w:szCs w:val="20"/>
        </w:rPr>
        <w:t xml:space="preserve">Основными видами опасного воздействия на окружающую среду являются загрязнение атмосферного воздуха населённых мест, мутность сточных и природных вод (водоёмов), вызывает изменение санитарного состояния водных объектов.</w:t>
      </w:r>
    </w:p>
    <w:p>
      <w:pPr>
        <w:spacing w:after="60" w:line="264"/>
      </w:pPr>
      <w:r>
        <w:rPr>
          <w:b/>
          <w:bCs/>
          <w:sz w:val="20"/>
          <w:szCs w:val="20"/>
        </w:rPr>
        <w:t xml:space="preserve">12.2 Пути воздействия на окружающую среду</w:t>
      </w:r>
    </w:p>
    <w:p>
      <w:pPr>
        <w:spacing w:after="100" w:line="264"/>
      </w:pPr>
      <w:r>
        <w:rPr>
          <w:sz w:val="20"/>
          <w:szCs w:val="20"/>
        </w:rPr>
        <w:t xml:space="preserve">При нарушении правил хранения, транспортирования и применения, неорганизованном размещении отходов, сбросе на рельеф и в водоёмы, в результате аварий и ЧС и при несанкционированной утилизации.</w:t>
      </w:r>
    </w:p>
    <w:p>
      <w:pPr>
        <w:spacing w:after="60" w:line="264"/>
      </w:pPr>
      <w:r>
        <w:rPr>
          <w:b/>
          <w:bCs/>
          <w:sz w:val="20"/>
          <w:szCs w:val="20"/>
        </w:rPr>
        <w:t xml:space="preserve">12.3.1 Гигиенические нормативы</w:t>
      </w:r>
    </w:p>
    <w:tbl>
      <w:tblPr>
        <w:tblW w:type="dxa" w:w="9906"/>
        <w:tblBorders>
          <w:top w:val="single" w:color="8EA9DB" w:sz="4"/>
          <w:left w:val="single" w:color="8EA9DB" w:sz="4"/>
          <w:bottom w:val="single" w:color="8EA9DB" w:sz="4"/>
          <w:right w:val="single" w:color="8EA9DB" w:sz="4"/>
          <w:insideH w:val="single" w:color="8EA9DB" w:sz="4"/>
          <w:insideV w:val="single" w:color="8EA9DB" w:sz="4"/>
        </w:tblBorders>
      </w:tblPr>
      <w:tblGrid>
        <w:gridCol w:w="3200"/>
        <w:gridCol w:w="2200"/>
        <w:gridCol w:w="2100"/>
        <w:gridCol w:w="2526"/>
      </w:tblGrid>
      <w:tr>
        <w:trPr>
          <w:tblHeader/>
        </w:trPr>
        <w:tc>
          <w:tcPr>
            <w:tcW w:type="dxa" w:w="3200"/>
            <w:shd w:fill="D9E2F3" w:color="auto" w:val="clear"/>
            <w:tcMar>
              <w:top w:type="dxa" w:w="60"/>
              <w:left w:type="dxa" w:w="100"/>
              <w:bottom w:type="dxa" w:w="60"/>
              <w:right w:type="dxa" w:w="100"/>
            </w:tcMar>
            <w:vAlign w:val="center"/>
          </w:tcPr>
          <w:p>
            <w:pPr>
              <w:spacing w:after="0" w:line="264"/>
            </w:pPr>
            <w:r>
              <w:rPr>
                <w:b/>
                <w:bCs/>
                <w:sz w:val="18"/>
                <w:szCs w:val="18"/>
              </w:rPr>
              <w:t xml:space="preserve">Компонент</w:t>
            </w:r>
          </w:p>
        </w:tc>
        <w:tc>
          <w:tcPr>
            <w:tcW w:type="dxa" w:w="2200"/>
            <w:shd w:fill="D9E2F3" w:color="auto" w:val="clear"/>
            <w:tcMar>
              <w:top w:type="dxa" w:w="60"/>
              <w:left w:type="dxa" w:w="100"/>
              <w:bottom w:type="dxa" w:w="60"/>
              <w:right w:type="dxa" w:w="100"/>
            </w:tcMar>
            <w:vAlign w:val="center"/>
          </w:tcPr>
          <w:p>
            <w:pPr>
              <w:spacing w:after="0" w:line="264"/>
            </w:pPr>
            <w:r>
              <w:rPr>
                <w:b/>
                <w:bCs/>
                <w:sz w:val="18"/>
                <w:szCs w:val="18"/>
              </w:rPr>
              <w:t xml:space="preserve">ПДК атм.в., мг/м³</w:t>
            </w:r>
          </w:p>
        </w:tc>
        <w:tc>
          <w:tcPr>
            <w:tcW w:type="dxa" w:w="2100"/>
            <w:shd w:fill="D9E2F3" w:color="auto" w:val="clear"/>
            <w:tcMar>
              <w:top w:type="dxa" w:w="60"/>
              <w:left w:type="dxa" w:w="100"/>
              <w:bottom w:type="dxa" w:w="60"/>
              <w:right w:type="dxa" w:w="100"/>
            </w:tcMar>
            <w:vAlign w:val="center"/>
          </w:tcPr>
          <w:p>
            <w:pPr>
              <w:spacing w:after="0" w:line="264"/>
            </w:pPr>
            <w:r>
              <w:rPr>
                <w:b/>
                <w:bCs/>
                <w:sz w:val="18"/>
                <w:szCs w:val="18"/>
              </w:rPr>
              <w:t xml:space="preserve">ПДК воды, мг/л</w:t>
            </w:r>
          </w:p>
        </w:tc>
        <w:tc>
          <w:tcPr>
            <w:tcW w:type="dxa" w:w="2526"/>
            <w:shd w:fill="D9E2F3" w:color="auto" w:val="clear"/>
            <w:tcMar>
              <w:top w:type="dxa" w:w="60"/>
              <w:left w:type="dxa" w:w="100"/>
              <w:bottom w:type="dxa" w:w="60"/>
              <w:right w:type="dxa" w:w="100"/>
            </w:tcMar>
            <w:vAlign w:val="center"/>
          </w:tcPr>
          <w:p>
            <w:pPr>
              <w:spacing w:after="0" w:line="264"/>
            </w:pPr>
            <w:r>
              <w:rPr>
                <w:b/>
                <w:bCs/>
                <w:sz w:val="18"/>
                <w:szCs w:val="18"/>
              </w:rPr>
              <w:t xml:space="preserve">ПДК рыбхоз., мг/л</w:t>
            </w:r>
          </w:p>
        </w:tc>
      </w:tr>
      <w:tr>
        <w:tc>
          <w:tcPr>
            <w:tcW w:type="dxa" w:w="3200"/>
            <w:tcMar>
              <w:top w:type="dxa" w:w="60"/>
              <w:left w:type="dxa" w:w="100"/>
              <w:bottom w:type="dxa" w:w="60"/>
              <w:right w:type="dxa" w:w="100"/>
            </w:tcMar>
            <w:vAlign w:val="top"/>
          </w:tcPr>
          <w:p>
            <w:pPr>
              <w:spacing w:after="0" w:line="264"/>
            </w:pPr>
            <w:r>
              <w:rPr>
                <w:sz w:val="18"/>
                <w:szCs w:val="18"/>
              </w:rPr>
              <w:t xml:space="preserve">Компонент А — простой полиэфир</w:t>
            </w:r>
          </w:p>
        </w:tc>
        <w:tc>
          <w:tcPr>
            <w:tcW w:type="dxa" w:w="2200"/>
            <w:tcMar>
              <w:top w:type="dxa" w:w="60"/>
              <w:left w:type="dxa" w:w="100"/>
              <w:bottom w:type="dxa" w:w="60"/>
              <w:right w:type="dxa" w:w="100"/>
            </w:tcMar>
            <w:vAlign w:val="top"/>
          </w:tcPr>
          <w:p>
            <w:pPr>
              <w:spacing w:after="0" w:line="264"/>
            </w:pPr>
            <w:r>
              <w:rPr>
                <w:sz w:val="18"/>
                <w:szCs w:val="18"/>
              </w:rPr>
              <w:t xml:space="preserve">не установлено</w:t>
            </w:r>
          </w:p>
        </w:tc>
        <w:tc>
          <w:tcPr>
            <w:tcW w:type="dxa" w:w="2100"/>
            <w:tcMar>
              <w:top w:type="dxa" w:w="60"/>
              <w:left w:type="dxa" w:w="100"/>
              <w:bottom w:type="dxa" w:w="60"/>
              <w:right w:type="dxa" w:w="100"/>
            </w:tcMar>
            <w:vAlign w:val="top"/>
          </w:tcPr>
          <w:p>
            <w:pPr>
              <w:spacing w:after="0" w:line="264"/>
            </w:pPr>
            <w:r>
              <w:rPr>
                <w:sz w:val="18"/>
                <w:szCs w:val="18"/>
              </w:rPr>
              <w:t xml:space="preserve">10 (общ., 4 кл.)</w:t>
            </w:r>
          </w:p>
        </w:tc>
        <w:tc>
          <w:tcPr>
            <w:tcW w:type="dxa" w:w="2526"/>
            <w:tcMar>
              <w:top w:type="dxa" w:w="60"/>
              <w:left w:type="dxa" w:w="100"/>
              <w:bottom w:type="dxa" w:w="60"/>
              <w:right w:type="dxa" w:w="100"/>
            </w:tcMar>
            <w:vAlign w:val="top"/>
          </w:tcPr>
          <w:p>
            <w:pPr>
              <w:spacing w:after="0" w:line="264"/>
            </w:pPr>
            <w:r>
              <w:rPr>
                <w:sz w:val="18"/>
                <w:szCs w:val="18"/>
              </w:rPr>
              <w:t xml:space="preserve">0,1 (сан.-токс., 4 кл.)</w:t>
            </w:r>
          </w:p>
        </w:tc>
      </w:tr>
      <w:tr>
        <w:tc>
          <w:tcPr>
            <w:tcW w:type="dxa" w:w="3200"/>
            <w:tcMar>
              <w:top w:type="dxa" w:w="60"/>
              <w:left w:type="dxa" w:w="100"/>
              <w:bottom w:type="dxa" w:w="60"/>
              <w:right w:type="dxa" w:w="100"/>
            </w:tcMar>
            <w:vAlign w:val="top"/>
          </w:tcPr>
          <w:p>
            <w:pPr>
              <w:spacing w:after="0" w:line="264"/>
            </w:pPr>
            <w:r>
              <w:rPr>
                <w:sz w:val="18"/>
                <w:szCs w:val="18"/>
              </w:rPr>
              <w:t xml:space="preserve">Компонент А — мел</w:t>
            </w:r>
          </w:p>
        </w:tc>
        <w:tc>
          <w:tcPr>
            <w:tcW w:type="dxa" w:w="2200"/>
            <w:tcMar>
              <w:top w:type="dxa" w:w="60"/>
              <w:left w:type="dxa" w:w="100"/>
              <w:bottom w:type="dxa" w:w="60"/>
              <w:right w:type="dxa" w:w="100"/>
            </w:tcMar>
            <w:vAlign w:val="top"/>
          </w:tcPr>
          <w:p>
            <w:pPr>
              <w:spacing w:after="0" w:line="264"/>
            </w:pPr>
            <w:r>
              <w:rPr>
                <w:sz w:val="18"/>
                <w:szCs w:val="18"/>
              </w:rPr>
              <w:t xml:space="preserve">0,5/0,15 (рез., 3 кл.)</w:t>
            </w:r>
          </w:p>
        </w:tc>
        <w:tc>
          <w:tcPr>
            <w:tcW w:type="dxa" w:w="2100"/>
            <w:tcMar>
              <w:top w:type="dxa" w:w="60"/>
              <w:left w:type="dxa" w:w="100"/>
              <w:bottom w:type="dxa" w:w="60"/>
              <w:right w:type="dxa" w:w="100"/>
            </w:tcMar>
            <w:vAlign w:val="top"/>
          </w:tcPr>
          <w:p>
            <w:pPr>
              <w:spacing w:after="0" w:line="264"/>
            </w:pPr>
            <w:r>
              <w:rPr>
                <w:sz w:val="18"/>
                <w:szCs w:val="18"/>
              </w:rPr>
              <w:t xml:space="preserve">не установлено</w:t>
            </w:r>
          </w:p>
        </w:tc>
        <w:tc>
          <w:tcPr>
            <w:tcW w:type="dxa" w:w="2526"/>
            <w:tcMar>
              <w:top w:type="dxa" w:w="60"/>
              <w:left w:type="dxa" w:w="100"/>
              <w:bottom w:type="dxa" w:w="60"/>
              <w:right w:type="dxa" w:w="100"/>
            </w:tcMar>
            <w:vAlign w:val="top"/>
          </w:tcPr>
          <w:p>
            <w:pPr>
              <w:spacing w:after="0" w:line="264"/>
            </w:pPr>
            <w:r>
              <w:rPr>
                <w:sz w:val="18"/>
                <w:szCs w:val="18"/>
              </w:rPr>
              <w:t xml:space="preserve">180,0 (сан.-токс., 4э кл.); 610 (токс., при 13–18% для морской воды)</w:t>
            </w:r>
          </w:p>
        </w:tc>
      </w:tr>
      <w:tr>
        <w:tc>
          <w:tcPr>
            <w:tcW w:type="dxa" w:w="3200"/>
            <w:tcMar>
              <w:top w:type="dxa" w:w="60"/>
              <w:left w:type="dxa" w:w="100"/>
              <w:bottom w:type="dxa" w:w="60"/>
              <w:right w:type="dxa" w:w="100"/>
            </w:tcMar>
            <w:vAlign w:val="top"/>
          </w:tcPr>
          <w:p>
            <w:pPr>
              <w:spacing w:after="0" w:line="264"/>
            </w:pPr>
            <w:r>
              <w:rPr>
                <w:sz w:val="18"/>
                <w:szCs w:val="18"/>
              </w:rPr>
              <w:t xml:space="preserve">Компонент Б — полимерный дифенилметандиизоцианат</w:t>
            </w:r>
          </w:p>
        </w:tc>
        <w:tc>
          <w:tcPr>
            <w:tcW w:type="dxa" w:w="2200"/>
            <w:tcMar>
              <w:top w:type="dxa" w:w="60"/>
              <w:left w:type="dxa" w:w="100"/>
              <w:bottom w:type="dxa" w:w="60"/>
              <w:right w:type="dxa" w:w="100"/>
            </w:tcMar>
            <w:vAlign w:val="top"/>
          </w:tcPr>
          <w:p>
            <w:pPr>
              <w:spacing w:after="0" w:line="264"/>
            </w:pPr>
            <w:r>
              <w:rPr>
                <w:sz w:val="18"/>
                <w:szCs w:val="18"/>
              </w:rPr>
              <w:t xml:space="preserve">ОБУВ 0,001</w:t>
            </w:r>
          </w:p>
        </w:tc>
        <w:tc>
          <w:tcPr>
            <w:tcW w:type="dxa" w:w="2100"/>
            <w:tcMar>
              <w:top w:type="dxa" w:w="60"/>
              <w:left w:type="dxa" w:w="100"/>
              <w:bottom w:type="dxa" w:w="60"/>
              <w:right w:type="dxa" w:w="100"/>
            </w:tcMar>
            <w:vAlign w:val="top"/>
          </w:tcPr>
          <w:p>
            <w:pPr>
              <w:spacing w:after="0" w:line="264"/>
            </w:pPr>
            <w:r>
              <w:rPr>
                <w:sz w:val="18"/>
                <w:szCs w:val="18"/>
              </w:rPr>
              <w:t xml:space="preserve">не установлено</w:t>
            </w:r>
          </w:p>
        </w:tc>
        <w:tc>
          <w:tcPr>
            <w:tcW w:type="dxa" w:w="2526"/>
            <w:tcMar>
              <w:top w:type="dxa" w:w="60"/>
              <w:left w:type="dxa" w:w="100"/>
              <w:bottom w:type="dxa" w:w="60"/>
              <w:right w:type="dxa" w:w="100"/>
            </w:tcMar>
            <w:vAlign w:val="top"/>
          </w:tcPr>
          <w:p>
            <w:pPr>
              <w:spacing w:after="0" w:line="264"/>
            </w:pPr>
            <w:r>
              <w:rPr>
                <w:sz w:val="18"/>
                <w:szCs w:val="18"/>
              </w:rPr>
              <w:t xml:space="preserve">не установлено</w:t>
            </w:r>
          </w:p>
        </w:tc>
      </w:tr>
    </w:tbl>
    <w:p>
      <w:pPr>
        <w:spacing w:after="60" w:line="264"/>
      </w:pPr>
      <w:r>
        <w:rPr>
          <w:b/>
          <w:bCs/>
          <w:sz w:val="20"/>
          <w:szCs w:val="20"/>
        </w:rPr>
        <w:t xml:space="preserve">12.3.2 Показатели экотоксичности</w:t>
      </w:r>
    </w:p>
    <w:p>
      <w:pPr>
        <w:spacing w:after="100" w:line="264"/>
      </w:pPr>
      <w:r>
        <w:rPr>
          <w:sz w:val="20"/>
          <w:szCs w:val="20"/>
        </w:rPr>
        <w:t xml:space="preserve">Компонент А — простой полиэфир: LC50 &gt; 1000 мг/л, Leuciscus idus (Орфей золотой), 96 ч; EC50 &gt; 100 мг/л, Desmodesmus subspicatus, 72 ч; EC50 &gt; 100 мг/л, Дафния Магна, 48 ч. Мел: LC50 &gt; 100% об./об (насыщенный раствор), Oncorhynchus mykiss, 96 ч; EC50 &gt; 100% об./об (насыщенный раствор), Дафния Магна, 48 ч; EC50 &gt; 14 мг/л, Desmodesmus subspicatus, 72 ч.</w:t>
      </w:r>
    </w:p>
    <w:p>
      <w:pPr>
        <w:spacing w:after="60" w:line="264"/>
      </w:pPr>
      <w:r>
        <w:rPr>
          <w:b/>
          <w:bCs/>
          <w:sz w:val="20"/>
          <w:szCs w:val="20"/>
        </w:rPr>
        <w:t xml:space="preserve">12.3.3 Миграция и трансформация в окружающей среде</w:t>
      </w:r>
    </w:p>
    <w:p>
      <w:pPr>
        <w:spacing w:after="100" w:line="264"/>
      </w:pPr>
      <w:r>
        <w:rPr>
          <w:sz w:val="20"/>
          <w:szCs w:val="20"/>
        </w:rPr>
        <w:t xml:space="preserve">Не трансформируется в окружающей среде.</w:t>
      </w:r>
    </w:p>
    <w:p>
      <w:pPr>
        <w:spacing w:after="200"/>
      </w:pPr>
    </w:p>
    <w:tbl>
      <w:tblPr>
        <w:tblW w:type="dxa" w:w="9906"/>
        <w:tblBorders>
          <w:top w:val="none"/>
          <w:left w:val="none"/>
          <w:bottom w:val="none"/>
          <w:right w:val="none"/>
          <w:insideH w:val="none"/>
          <w:insideV w:val="none"/>
        </w:tblBorders>
      </w:tblPr>
      <w:tblGrid>
        <w:gridCol w:w="9906"/>
      </w:tblGrid>
      <w:tr>
        <w:tc>
          <w:tcPr>
            <w:tcW w:type="dxa" w:w="9906"/>
            <w:shd w:fill="1F3864" w:color="auto" w:val="clear"/>
            <w:tcMar>
              <w:top w:type="dxa" w:w="100"/>
              <w:left w:type="dxa" w:w="150"/>
              <w:bottom w:type="dxa" w:w="100"/>
              <w:right w:type="dxa" w:w="150"/>
            </w:tcMar>
          </w:tcPr>
          <w:p>
            <w:pPr>
              <w:spacing w:after="0"/>
            </w:pPr>
            <w:r>
              <w:rPr>
                <w:b/>
                <w:bCs/>
                <w:color w:val="FFFFFF"/>
                <w:sz w:val="22"/>
                <w:szCs w:val="22"/>
              </w:rPr>
              <w:t xml:space="preserve">РАЗДЕЛ 13: РЕКОМЕНДАЦИИ ПО УДАЛЕНИЮ ОТХОДОВ (ОСТАТКОВ)</w:t>
            </w:r>
          </w:p>
        </w:tc>
      </w:tr>
    </w:tbl>
    <w:p>
      <w:pPr>
        <w:spacing w:after="120"/>
      </w:pPr>
    </w:p>
    <w:p>
      <w:pPr>
        <w:spacing w:after="60" w:line="264"/>
      </w:pPr>
      <w:r>
        <w:rPr>
          <w:b/>
          <w:bCs/>
          <w:sz w:val="20"/>
          <w:szCs w:val="20"/>
        </w:rPr>
        <w:t xml:space="preserve">13.1 Меры безопасности при обращении с отходами</w:t>
      </w:r>
    </w:p>
    <w:p>
      <w:pPr>
        <w:spacing w:after="100" w:line="264"/>
      </w:pPr>
      <w:r>
        <w:rPr>
          <w:sz w:val="20"/>
          <w:szCs w:val="20"/>
        </w:rPr>
        <w:t xml:space="preserve">Меры безопасности аналогичны рекомендованным для работы с основным продуктом (см. разделы 7 и 8).</w:t>
      </w:r>
    </w:p>
    <w:p>
      <w:pPr>
        <w:spacing w:after="60" w:line="264"/>
      </w:pPr>
      <w:r>
        <w:rPr>
          <w:b/>
          <w:bCs/>
          <w:sz w:val="20"/>
          <w:szCs w:val="20"/>
        </w:rPr>
        <w:t xml:space="preserve">13.2 Сведения о местах и способах обезвреживания, утилизации или ликвидации отходов продукции, включая тару</w:t>
      </w:r>
    </w:p>
    <w:p>
      <w:pPr>
        <w:spacing w:after="100" w:line="264"/>
      </w:pPr>
      <w:r>
        <w:rPr>
          <w:sz w:val="20"/>
          <w:szCs w:val="20"/>
        </w:rPr>
        <w:t xml:space="preserve">Отходы собираются в ёмкости, нейтрализуются и отправляются в отвалы с последующим направлением на полигон технологических отходов для захоронения. Во всех случаях следует руководствоваться СанПиН 2.1.3684.</w:t>
      </w:r>
    </w:p>
    <w:p>
      <w:pPr>
        <w:spacing w:after="60" w:line="264"/>
      </w:pPr>
      <w:r>
        <w:rPr>
          <w:b/>
          <w:bCs/>
          <w:sz w:val="20"/>
          <w:szCs w:val="20"/>
        </w:rPr>
        <w:t xml:space="preserve">13.3 Рекомендации по удалению отходов, образующихся при применении продукции в быту</w:t>
      </w:r>
    </w:p>
    <w:p>
      <w:pPr>
        <w:spacing w:after="100" w:line="264"/>
      </w:pPr>
      <w:r>
        <w:rPr>
          <w:sz w:val="20"/>
          <w:szCs w:val="20"/>
        </w:rPr>
        <w:t xml:space="preserve">По истечении срока годности следует разбавить большим количеством воды и утилизировать путём слива в канализацию.</w:t>
      </w:r>
    </w:p>
    <w:p>
      <w:pPr>
        <w:spacing w:after="200"/>
      </w:pPr>
    </w:p>
    <w:tbl>
      <w:tblPr>
        <w:tblW w:type="dxa" w:w="9906"/>
        <w:tblBorders>
          <w:top w:val="none"/>
          <w:left w:val="none"/>
          <w:bottom w:val="none"/>
          <w:right w:val="none"/>
          <w:insideH w:val="none"/>
          <w:insideV w:val="none"/>
        </w:tblBorders>
      </w:tblPr>
      <w:tblGrid>
        <w:gridCol w:w="9906"/>
      </w:tblGrid>
      <w:tr>
        <w:tc>
          <w:tcPr>
            <w:tcW w:type="dxa" w:w="9906"/>
            <w:shd w:fill="1F3864" w:color="auto" w:val="clear"/>
            <w:tcMar>
              <w:top w:type="dxa" w:w="100"/>
              <w:left w:type="dxa" w:w="150"/>
              <w:bottom w:type="dxa" w:w="100"/>
              <w:right w:type="dxa" w:w="150"/>
            </w:tcMar>
          </w:tcPr>
          <w:p>
            <w:pPr>
              <w:spacing w:after="0"/>
            </w:pPr>
            <w:r>
              <w:rPr>
                <w:b/>
                <w:bCs/>
                <w:color w:val="FFFFFF"/>
                <w:sz w:val="22"/>
                <w:szCs w:val="22"/>
              </w:rPr>
              <w:t xml:space="preserve">РАЗДЕЛ 14: ТРАНСПОРТНАЯ ИНФОРМАЦИЯ</w:t>
            </w:r>
          </w:p>
        </w:tc>
      </w:tr>
    </w:tbl>
    <w:p>
      <w:pPr>
        <w:spacing w:after="120"/>
      </w:pPr>
    </w:p>
    <w:tbl>
      <w:tblPr>
        <w:tblW w:type="dxa" w:w="9906"/>
        <w:tblBorders>
          <w:top w:val="single" w:color="8EA9DB" w:sz="4"/>
          <w:left w:val="single" w:color="8EA9DB" w:sz="4"/>
          <w:bottom w:val="single" w:color="8EA9DB" w:sz="4"/>
          <w:right w:val="single" w:color="8EA9DB" w:sz="4"/>
          <w:insideH w:val="single" w:color="8EA9DB" w:sz="4"/>
          <w:insideV w:val="single" w:color="8EA9DB" w:sz="4"/>
        </w:tblBorders>
      </w:tblPr>
      <w:tblGrid>
        <w:gridCol w:w="4200"/>
        <w:gridCol w:w="5826"/>
      </w:tblGrid>
      <w:tr>
        <w:trPr>
          <w:tblHeader/>
        </w:trPr>
        <w:tc>
          <w:tcPr>
            <w:tcW w:type="dxa" w:w="4200"/>
            <w:shd w:fill="D9E2F3" w:color="auto" w:val="clear"/>
            <w:tcMar>
              <w:top w:type="dxa" w:w="60"/>
              <w:left w:type="dxa" w:w="100"/>
              <w:bottom w:type="dxa" w:w="60"/>
              <w:right w:type="dxa" w:w="100"/>
            </w:tcMar>
            <w:vAlign w:val="center"/>
          </w:tcPr>
          <w:p>
            <w:pPr>
              <w:spacing w:after="0" w:line="264"/>
            </w:pPr>
            <w:r>
              <w:rPr>
                <w:b/>
                <w:bCs/>
                <w:sz w:val="18"/>
                <w:szCs w:val="18"/>
              </w:rPr>
              <w:t xml:space="preserve">Показатель</w:t>
            </w:r>
          </w:p>
        </w:tc>
        <w:tc>
          <w:tcPr>
            <w:tcW w:type="dxa" w:w="5826"/>
            <w:shd w:fill="D9E2F3" w:color="auto" w:val="clear"/>
            <w:tcMar>
              <w:top w:type="dxa" w:w="60"/>
              <w:left w:type="dxa" w:w="100"/>
              <w:bottom w:type="dxa" w:w="60"/>
              <w:right w:type="dxa" w:w="100"/>
            </w:tcMar>
            <w:vAlign w:val="center"/>
          </w:tcPr>
          <w:p>
            <w:pPr>
              <w:spacing w:after="0" w:line="264"/>
            </w:pPr>
            <w:r>
              <w:rPr>
                <w:b/>
                <w:bCs/>
                <w:sz w:val="18"/>
                <w:szCs w:val="18"/>
              </w:rPr>
              <w:t xml:space="preserve">Значение</w:t>
            </w:r>
          </w:p>
        </w:tc>
      </w:tr>
      <w:tr>
        <w:tc>
          <w:tcPr>
            <w:tcW w:type="dxa" w:w="4200"/>
            <w:tcMar>
              <w:top w:type="dxa" w:w="60"/>
              <w:left w:type="dxa" w:w="100"/>
              <w:bottom w:type="dxa" w:w="60"/>
              <w:right w:type="dxa" w:w="100"/>
            </w:tcMar>
            <w:vAlign w:val="top"/>
          </w:tcPr>
          <w:p>
            <w:pPr>
              <w:spacing w:after="0" w:line="264"/>
            </w:pPr>
            <w:r>
              <w:rPr>
                <w:sz w:val="18"/>
                <w:szCs w:val="18"/>
              </w:rPr>
              <w:t xml:space="preserve">Номер ООН (UN)</w:t>
            </w:r>
          </w:p>
        </w:tc>
        <w:tc>
          <w:tcPr>
            <w:tcW w:type="dxa" w:w="5826"/>
            <w:tcMar>
              <w:top w:type="dxa" w:w="60"/>
              <w:left w:type="dxa" w:w="100"/>
              <w:bottom w:type="dxa" w:w="60"/>
              <w:right w:type="dxa" w:w="100"/>
            </w:tcMar>
            <w:vAlign w:val="top"/>
          </w:tcPr>
          <w:p>
            <w:pPr>
              <w:spacing w:after="0" w:line="264"/>
            </w:pPr>
            <w:r>
              <w:rPr>
                <w:sz w:val="18"/>
                <w:szCs w:val="18"/>
              </w:rPr>
              <w:t xml:space="preserve">Отсутствует</w:t>
            </w:r>
          </w:p>
        </w:tc>
      </w:tr>
      <w:tr>
        <w:tc>
          <w:tcPr>
            <w:tcW w:type="dxa" w:w="4200"/>
            <w:tcMar>
              <w:top w:type="dxa" w:w="60"/>
              <w:left w:type="dxa" w:w="100"/>
              <w:bottom w:type="dxa" w:w="60"/>
              <w:right w:type="dxa" w:w="100"/>
            </w:tcMar>
            <w:vAlign w:val="top"/>
          </w:tcPr>
          <w:p>
            <w:pPr>
              <w:spacing w:after="0" w:line="264"/>
            </w:pPr>
            <w:r>
              <w:rPr>
                <w:sz w:val="18"/>
                <w:szCs w:val="18"/>
              </w:rPr>
              <w:t xml:space="preserve">Надлежащее отгрузочное наименование</w:t>
            </w:r>
          </w:p>
        </w:tc>
        <w:tc>
          <w:tcPr>
            <w:tcW w:type="dxa" w:w="5826"/>
            <w:tcMar>
              <w:top w:type="dxa" w:w="60"/>
              <w:left w:type="dxa" w:w="100"/>
              <w:bottom w:type="dxa" w:w="60"/>
              <w:right w:type="dxa" w:w="100"/>
            </w:tcMar>
            <w:vAlign w:val="top"/>
          </w:tcPr>
          <w:p>
            <w:pPr>
              <w:spacing w:after="0" w:line="264"/>
            </w:pPr>
            <w:r>
              <w:rPr>
                <w:sz w:val="18"/>
                <w:szCs w:val="18"/>
              </w:rPr>
              <w:t xml:space="preserve">Отсутствует</w:t>
            </w:r>
          </w:p>
        </w:tc>
      </w:tr>
      <w:tr>
        <w:tc>
          <w:tcPr>
            <w:tcW w:type="dxa" w:w="4200"/>
            <w:tcMar>
              <w:top w:type="dxa" w:w="60"/>
              <w:left w:type="dxa" w:w="100"/>
              <w:bottom w:type="dxa" w:w="60"/>
              <w:right w:type="dxa" w:w="100"/>
            </w:tcMar>
            <w:vAlign w:val="top"/>
          </w:tcPr>
          <w:p>
            <w:pPr>
              <w:spacing w:after="0" w:line="264"/>
            </w:pPr>
            <w:r>
              <w:rPr>
                <w:sz w:val="18"/>
                <w:szCs w:val="18"/>
              </w:rPr>
              <w:t xml:space="preserve">Транспортное наименование</w:t>
            </w:r>
          </w:p>
        </w:tc>
        <w:tc>
          <w:tcPr>
            <w:tcW w:type="dxa" w:w="5826"/>
            <w:tcMar>
              <w:top w:type="dxa" w:w="60"/>
              <w:left w:type="dxa" w:w="100"/>
              <w:bottom w:type="dxa" w:w="60"/>
              <w:right w:type="dxa" w:w="100"/>
            </w:tcMar>
            <w:vAlign w:val="top"/>
          </w:tcPr>
          <w:p>
            <w:pPr>
              <w:spacing w:after="0" w:line="264"/>
            </w:pPr>
            <w:r>
              <w:rPr>
                <w:sz w:val="18"/>
                <w:szCs w:val="18"/>
              </w:rPr>
              <w:t xml:space="preserve">Двухкомпонентный полиуретановый клей для различных видов паркета на впитывающие и не впитывающие влагу основания «SIPP-2K PU»</w:t>
            </w:r>
          </w:p>
        </w:tc>
      </w:tr>
      <w:tr>
        <w:tc>
          <w:tcPr>
            <w:tcW w:type="dxa" w:w="4200"/>
            <w:tcMar>
              <w:top w:type="dxa" w:w="60"/>
              <w:left w:type="dxa" w:w="100"/>
              <w:bottom w:type="dxa" w:w="60"/>
              <w:right w:type="dxa" w:w="100"/>
            </w:tcMar>
            <w:vAlign w:val="top"/>
          </w:tcPr>
          <w:p>
            <w:pPr>
              <w:spacing w:after="0" w:line="264"/>
            </w:pPr>
            <w:r>
              <w:rPr>
                <w:sz w:val="18"/>
                <w:szCs w:val="18"/>
              </w:rPr>
              <w:t xml:space="preserve">Применяемые виды транспорта</w:t>
            </w:r>
          </w:p>
        </w:tc>
        <w:tc>
          <w:tcPr>
            <w:tcW w:type="dxa" w:w="5826"/>
            <w:tcMar>
              <w:top w:type="dxa" w:w="60"/>
              <w:left w:type="dxa" w:w="100"/>
              <w:bottom w:type="dxa" w:w="60"/>
              <w:right w:type="dxa" w:w="100"/>
            </w:tcMar>
            <w:vAlign w:val="top"/>
          </w:tcPr>
          <w:p>
            <w:pPr>
              <w:spacing w:after="0" w:line="264"/>
            </w:pPr>
            <w:r>
              <w:rPr>
                <w:sz w:val="18"/>
                <w:szCs w:val="18"/>
              </w:rPr>
              <w:t xml:space="preserve">Автомобильным и железнодорожным транспортом</w:t>
            </w:r>
          </w:p>
        </w:tc>
      </w:tr>
      <w:tr>
        <w:tc>
          <w:tcPr>
            <w:tcW w:type="dxa" w:w="4200"/>
            <w:tcMar>
              <w:top w:type="dxa" w:w="60"/>
              <w:left w:type="dxa" w:w="100"/>
              <w:bottom w:type="dxa" w:w="60"/>
              <w:right w:type="dxa" w:w="100"/>
            </w:tcMar>
            <w:vAlign w:val="top"/>
          </w:tcPr>
          <w:p>
            <w:pPr>
              <w:spacing w:after="0" w:line="264"/>
            </w:pPr>
            <w:r>
              <w:rPr>
                <w:sz w:val="18"/>
                <w:szCs w:val="18"/>
              </w:rPr>
              <w:t xml:space="preserve">Классификация опасности груза по ГОСТ 19433-88</w:t>
            </w:r>
          </w:p>
        </w:tc>
        <w:tc>
          <w:tcPr>
            <w:tcW w:type="dxa" w:w="5826"/>
            <w:tcMar>
              <w:top w:type="dxa" w:w="60"/>
              <w:left w:type="dxa" w:w="100"/>
              <w:bottom w:type="dxa" w:w="60"/>
              <w:right w:type="dxa" w:w="100"/>
            </w:tcMar>
            <w:vAlign w:val="top"/>
          </w:tcPr>
          <w:p>
            <w:pPr>
              <w:spacing w:after="0" w:line="264"/>
            </w:pPr>
            <w:r>
              <w:rPr>
                <w:sz w:val="18"/>
                <w:szCs w:val="18"/>
              </w:rPr>
              <w:t xml:space="preserve">Не классифицируется как опасный груз</w:t>
            </w:r>
          </w:p>
        </w:tc>
      </w:tr>
      <w:tr>
        <w:tc>
          <w:tcPr>
            <w:tcW w:type="dxa" w:w="4200"/>
            <w:tcMar>
              <w:top w:type="dxa" w:w="60"/>
              <w:left w:type="dxa" w:w="100"/>
              <w:bottom w:type="dxa" w:w="60"/>
              <w:right w:type="dxa" w:w="100"/>
            </w:tcMar>
            <w:vAlign w:val="top"/>
          </w:tcPr>
          <w:p>
            <w:pPr>
              <w:spacing w:after="0" w:line="264"/>
            </w:pPr>
            <w:r>
              <w:rPr>
                <w:sz w:val="18"/>
                <w:szCs w:val="18"/>
              </w:rPr>
              <w:t xml:space="preserve">Классификация опасности груза по Рекомендациям ООН</w:t>
            </w:r>
          </w:p>
        </w:tc>
        <w:tc>
          <w:tcPr>
            <w:tcW w:type="dxa" w:w="5826"/>
            <w:tcMar>
              <w:top w:type="dxa" w:w="60"/>
              <w:left w:type="dxa" w:w="100"/>
              <w:bottom w:type="dxa" w:w="60"/>
              <w:right w:type="dxa" w:w="100"/>
            </w:tcMar>
            <w:vAlign w:val="top"/>
          </w:tcPr>
          <w:p>
            <w:pPr>
              <w:spacing w:after="0" w:line="264"/>
            </w:pPr>
            <w:r>
              <w:rPr>
                <w:sz w:val="18"/>
                <w:szCs w:val="18"/>
              </w:rPr>
              <w:t xml:space="preserve">Не классифицируется как опасный груз</w:t>
            </w:r>
          </w:p>
        </w:tc>
      </w:tr>
      <w:tr>
        <w:tc>
          <w:tcPr>
            <w:tcW w:type="dxa" w:w="4200"/>
            <w:tcMar>
              <w:top w:type="dxa" w:w="60"/>
              <w:left w:type="dxa" w:w="100"/>
              <w:bottom w:type="dxa" w:w="60"/>
              <w:right w:type="dxa" w:w="100"/>
            </w:tcMar>
            <w:vAlign w:val="top"/>
          </w:tcPr>
          <w:p>
            <w:pPr>
              <w:spacing w:after="0" w:line="264"/>
            </w:pPr>
            <w:r>
              <w:rPr>
                <w:sz w:val="18"/>
                <w:szCs w:val="18"/>
              </w:rPr>
              <w:t xml:space="preserve">Транспортная маркировка (ГОСТ 14192-96)</w:t>
            </w:r>
          </w:p>
        </w:tc>
        <w:tc>
          <w:tcPr>
            <w:tcW w:type="dxa" w:w="5826"/>
            <w:tcMar>
              <w:top w:type="dxa" w:w="60"/>
              <w:left w:type="dxa" w:w="100"/>
              <w:bottom w:type="dxa" w:w="60"/>
              <w:right w:type="dxa" w:w="100"/>
            </w:tcMar>
            <w:vAlign w:val="top"/>
          </w:tcPr>
          <w:p>
            <w:pPr>
              <w:spacing w:after="0" w:line="264"/>
            </w:pPr>
            <w:r>
              <w:rPr>
                <w:sz w:val="18"/>
                <w:szCs w:val="18"/>
              </w:rPr>
              <w:t xml:space="preserve">Отсутствует</w:t>
            </w:r>
          </w:p>
        </w:tc>
      </w:tr>
      <w:tr>
        <w:tc>
          <w:tcPr>
            <w:tcW w:type="dxa" w:w="4200"/>
            <w:tcMar>
              <w:top w:type="dxa" w:w="60"/>
              <w:left w:type="dxa" w:w="100"/>
              <w:bottom w:type="dxa" w:w="60"/>
              <w:right w:type="dxa" w:w="100"/>
            </w:tcMar>
            <w:vAlign w:val="top"/>
          </w:tcPr>
          <w:p>
            <w:pPr>
              <w:spacing w:after="0" w:line="264"/>
            </w:pPr>
            <w:r>
              <w:rPr>
                <w:sz w:val="18"/>
                <w:szCs w:val="18"/>
              </w:rPr>
              <w:t xml:space="preserve">Аварийные карточки</w:t>
            </w:r>
          </w:p>
        </w:tc>
        <w:tc>
          <w:tcPr>
            <w:tcW w:type="dxa" w:w="5826"/>
            <w:tcMar>
              <w:top w:type="dxa" w:w="60"/>
              <w:left w:type="dxa" w:w="100"/>
              <w:bottom w:type="dxa" w:w="60"/>
              <w:right w:type="dxa" w:w="100"/>
            </w:tcMar>
            <w:vAlign w:val="top"/>
          </w:tcPr>
          <w:p>
            <w:pPr>
              <w:spacing w:after="0" w:line="264"/>
            </w:pPr>
            <w:r>
              <w:rPr>
                <w:sz w:val="18"/>
                <w:szCs w:val="18"/>
              </w:rPr>
              <w:t xml:space="preserve">Не требуются</w:t>
            </w:r>
          </w:p>
        </w:tc>
      </w:tr>
    </w:tbl>
    <w:p>
      <w:pPr>
        <w:spacing w:after="200"/>
      </w:pPr>
    </w:p>
    <w:tbl>
      <w:tblPr>
        <w:tblW w:type="dxa" w:w="9906"/>
        <w:tblBorders>
          <w:top w:val="none"/>
          <w:left w:val="none"/>
          <w:bottom w:val="none"/>
          <w:right w:val="none"/>
          <w:insideH w:val="none"/>
          <w:insideV w:val="none"/>
        </w:tblBorders>
      </w:tblPr>
      <w:tblGrid>
        <w:gridCol w:w="9906"/>
      </w:tblGrid>
      <w:tr>
        <w:tc>
          <w:tcPr>
            <w:tcW w:type="dxa" w:w="9906"/>
            <w:shd w:fill="1F3864" w:color="auto" w:val="clear"/>
            <w:tcMar>
              <w:top w:type="dxa" w:w="100"/>
              <w:left w:type="dxa" w:w="150"/>
              <w:bottom w:type="dxa" w:w="100"/>
              <w:right w:type="dxa" w:w="150"/>
            </w:tcMar>
          </w:tcPr>
          <w:p>
            <w:pPr>
              <w:spacing w:after="0"/>
            </w:pPr>
            <w:r>
              <w:rPr>
                <w:b/>
                <w:bCs/>
                <w:color w:val="FFFFFF"/>
                <w:sz w:val="22"/>
                <w:szCs w:val="22"/>
              </w:rPr>
              <w:t xml:space="preserve">РАЗДЕЛ 15: НОРМАТИВНАЯ ИНФОРМАЦИЯ</w:t>
            </w:r>
          </w:p>
        </w:tc>
      </w:tr>
    </w:tbl>
    <w:p>
      <w:pPr>
        <w:spacing w:after="120"/>
      </w:pPr>
    </w:p>
    <w:p>
      <w:pPr>
        <w:spacing w:after="60" w:line="264"/>
      </w:pPr>
      <w:r>
        <w:rPr>
          <w:b/>
          <w:bCs/>
          <w:sz w:val="20"/>
          <w:szCs w:val="20"/>
        </w:rPr>
        <w:t xml:space="preserve">15.1 Национальное законодательство</w:t>
      </w:r>
    </w:p>
    <w:p>
      <w:pPr>
        <w:spacing w:after="100" w:line="264"/>
      </w:pPr>
      <w:r>
        <w:rPr>
          <w:sz w:val="20"/>
          <w:szCs w:val="20"/>
        </w:rPr>
        <w:t xml:space="preserve">Законы РФ: «Об охране окружающей среды», «О санитарно-эпидемиологическом благополучии населения», «Об основах охраны труда в Российской Федерации», «О техническом регулировании». Сведения о документации, регламентирующей требования по защите человека и окружающей среды: нет.</w:t>
      </w:r>
    </w:p>
    <w:p>
      <w:pPr>
        <w:spacing w:after="60" w:line="264"/>
      </w:pPr>
      <w:r>
        <w:rPr>
          <w:b/>
          <w:bCs/>
          <w:sz w:val="20"/>
          <w:szCs w:val="20"/>
        </w:rPr>
        <w:t xml:space="preserve">15.2 Международные конвенции и соглашения</w:t>
      </w:r>
    </w:p>
    <w:p>
      <w:pPr>
        <w:spacing w:after="100" w:line="264"/>
      </w:pPr>
      <w:r>
        <w:rPr>
          <w:sz w:val="20"/>
          <w:szCs w:val="20"/>
        </w:rPr>
        <w:t xml:space="preserve">Не регламентируется (Монреальский протокол, Стокгольмская конвенция).</w:t>
      </w:r>
    </w:p>
    <w:p>
      <w:pPr>
        <w:spacing w:after="200"/>
      </w:pPr>
    </w:p>
    <w:tbl>
      <w:tblPr>
        <w:tblW w:type="dxa" w:w="9906"/>
        <w:tblBorders>
          <w:top w:val="none"/>
          <w:left w:val="none"/>
          <w:bottom w:val="none"/>
          <w:right w:val="none"/>
          <w:insideH w:val="none"/>
          <w:insideV w:val="none"/>
        </w:tblBorders>
      </w:tblPr>
      <w:tblGrid>
        <w:gridCol w:w="9906"/>
      </w:tblGrid>
      <w:tr>
        <w:tc>
          <w:tcPr>
            <w:tcW w:type="dxa" w:w="9906"/>
            <w:shd w:fill="1F3864" w:color="auto" w:val="clear"/>
            <w:tcMar>
              <w:top w:type="dxa" w:w="100"/>
              <w:left w:type="dxa" w:w="150"/>
              <w:bottom w:type="dxa" w:w="100"/>
              <w:right w:type="dxa" w:w="150"/>
            </w:tcMar>
          </w:tcPr>
          <w:p>
            <w:pPr>
              <w:spacing w:after="0"/>
            </w:pPr>
            <w:r>
              <w:rPr>
                <w:b/>
                <w:bCs/>
                <w:color w:val="FFFFFF"/>
                <w:sz w:val="22"/>
                <w:szCs w:val="22"/>
              </w:rPr>
              <w:t xml:space="preserve">РАЗДЕЛ 16: ДОПОЛНИТЕЛЬНАЯ ИНФОРМАЦИЯ</w:t>
            </w:r>
          </w:p>
        </w:tc>
      </w:tr>
    </w:tbl>
    <w:p>
      <w:pPr>
        <w:spacing w:after="120"/>
      </w:pPr>
    </w:p>
    <w:p>
      <w:pPr>
        <w:spacing w:after="60" w:line="264"/>
      </w:pPr>
      <w:r>
        <w:rPr>
          <w:b/>
          <w:bCs/>
          <w:sz w:val="20"/>
          <w:szCs w:val="20"/>
        </w:rPr>
        <w:t xml:space="preserve">16.1 Сведения о пересмотре (переиздании) ПБ</w:t>
      </w:r>
    </w:p>
    <w:p>
      <w:pPr>
        <w:spacing w:after="100" w:line="264"/>
      </w:pPr>
      <w:r>
        <w:rPr>
          <w:sz w:val="20"/>
          <w:szCs w:val="20"/>
        </w:rPr>
        <w:t xml:space="preserve">ПБ разработан впервые в соответствии с ГОСТ 30333-2007.</w:t>
      </w:r>
    </w:p>
    <w:p>
      <w:pPr>
        <w:spacing w:after="60" w:line="264"/>
      </w:pPr>
      <w:r>
        <w:rPr>
          <w:b/>
          <w:bCs/>
          <w:sz w:val="20"/>
          <w:szCs w:val="20"/>
        </w:rPr>
        <w:t xml:space="preserve">16.2 Перечень источников данных</w:t>
      </w:r>
    </w:p>
    <w:p>
      <w:pPr>
        <w:spacing w:after="100" w:line="264"/>
      </w:pPr>
      <w:r>
        <w:rPr>
          <w:sz w:val="20"/>
          <w:szCs w:val="20"/>
        </w:rPr>
        <w:t xml:space="preserve">ТУ 20.52.10-008-34576645-2023; справочные и нормативные издания (ГОСТ 12.1.007-76, ГОСТ 32419-2022, ГОСТ 32423-2013, ГОСТ 32424-2013, ГОСТ 32425-2013, СанПиН 1.2.3685-21, СанПиН 2.1.3684-21, ДОПОГ, Правила перевозок опасных грузов по железным дорогам, ГОСТ 30333-2007, ГОСТ 31340-2022 и др.); базы данных ФБУЗ «Российский регистр потенциально опасных химических и биологических веществ» Роспотребнадзора (rpohv.ru), ECHA (echa.europa.eu) и GESTIS (gestis-database.dguv.de). Порядковые номера источников приведены в оригинале документа в виде ссылок по каждому пункту.</w:t>
      </w:r>
    </w:p>
    <w:p>
      <w:pPr>
        <w:spacing w:after="200"/>
      </w:pPr>
    </w:p>
    <w:sectPr>
      <w:pgSz w:w="11906" w:h="16838" w:orient="portrait"/>
      <w:pgMar w:top="1000" w:right="1000" w:bottom="1000" w:left="1000" w:header="708" w:footer="708" w:gutter="0"/>
      <w:pgBorders w:display="allPages" w:offsetFrom="page">
        <w:top w:val="single" w:color="8EA9DB" w:sz="8" w:space="24"/>
        <w:left w:val="single" w:color="8EA9DB" w:sz="8" w:space="24"/>
        <w:bottom w:val="single" w:color="8EA9DB" w:sz="8" w:space="24"/>
        <w:right w:val="single" w:color="8EA9DB" w:sz="8" w:space="24"/>
      </w:pgBorders>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2026-08-02T02:17:37.958Z</dcterms:created>
  <dcterms:modified xsi:type="dcterms:W3CDTF">2026-08-02T02:17:37.958Z</dcterms:modified>
</cp:coreProperties>
</file>

<file path=docProps/custom.xml><?xml version="1.0" encoding="utf-8"?>
<Properties xmlns="http://schemas.openxmlformats.org/officeDocument/2006/custom-properties" xmlns:vt="http://schemas.openxmlformats.org/officeDocument/2006/docPropsVTypes"/>
</file>