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/>
        <w:jc w:val="center"/>
      </w:pPr>
      <w:r>
        <w:rPr>
          <w:b/>
          <w:bCs/>
          <w:sz w:val="34"/>
          <w:szCs w:val="34"/>
        </w:rPr>
        <w:t xml:space="preserve">Паспорт безопасности</w:t>
      </w:r>
    </w:p>
    <w:p>
      <w:pPr>
        <w:spacing w:after="160"/>
        <w:jc w:val="center"/>
      </w:pPr>
      <w:r>
        <w:rPr>
          <w:i/>
          <w:iCs/>
          <w:sz w:val="20"/>
          <w:szCs w:val="20"/>
        </w:rPr>
        <w:t xml:space="preserve">согласно 1907/2006/EC, Статья 31</w:t>
      </w:r>
    </w:p>
    <w:p>
      <w:pPr>
        <w:pBdr>
          <w:bottom w:val="single" w:color="1F3864" w:sz="8" w:space="4"/>
        </w:pBdr>
        <w:spacing w:after="300"/>
        <w:jc w:val="center"/>
      </w:pPr>
      <w:r>
        <w:rPr>
          <w:b/>
          <w:bCs/>
          <w:sz w:val="26"/>
          <w:szCs w:val="26"/>
        </w:rPr>
        <w:t xml:space="preserve">SIPP 1K MS</w:t>
      </w:r>
    </w:p>
    <w:tbl>
      <w:tblPr>
        <w:tblW w:type="dxa" w:w="9906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906"/>
      </w:tblGrid>
      <w:tr>
        <w:tc>
          <w:tcPr>
            <w:tcW w:type="dxa" w:w="9906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pPr>
              <w:spacing w:after="0"/>
            </w:pPr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1: ИДЕНТИФИКАЦИЯ ВЕЩЕСТВА/СМЕСИ И СВЕДЕНИЯ О КОМПАНИИ</w:t>
            </w:r>
          </w:p>
        </w:tc>
      </w:tr>
    </w:tbl>
    <w:p>
      <w:pPr>
        <w:spacing w:after="120"/>
      </w:pPr>
    </w:p>
    <w:p>
      <w:pPr>
        <w:spacing w:after="60" w:line="264"/>
      </w:pPr>
      <w:r>
        <w:rPr>
          <w:b/>
          <w:bCs/>
          <w:sz w:val="20"/>
          <w:szCs w:val="20"/>
        </w:rPr>
        <w:t xml:space="preserve">Наименование продукта</w:t>
      </w:r>
    </w:p>
    <w:p>
      <w:pPr>
        <w:spacing w:after="100" w:line="264"/>
      </w:pPr>
      <w:r>
        <w:rPr>
          <w:sz w:val="20"/>
          <w:szCs w:val="20"/>
        </w:rPr>
        <w:t xml:space="preserve">SIPP 1K MS</w:t>
      </w:r>
    </w:p>
    <w:p>
      <w:pPr>
        <w:spacing w:after="60" w:line="264"/>
      </w:pPr>
      <w:r>
        <w:rPr>
          <w:b/>
          <w:bCs/>
          <w:sz w:val="20"/>
          <w:szCs w:val="20"/>
        </w:rPr>
        <w:t xml:space="preserve">Производитель</w:t>
      </w:r>
    </w:p>
    <w:p>
      <w:pPr>
        <w:spacing w:after="100" w:line="264"/>
      </w:pPr>
      <w:r>
        <w:rPr>
          <w:sz w:val="20"/>
          <w:szCs w:val="20"/>
        </w:rPr>
        <w:t xml:space="preserve">«СИПП-ПРОМ», 197348 Россия, Санкт-Петербург, Коломяжский проспект, дом 10, литер 10, помещение 1Н, 3Н, офис 307</w:t>
      </w:r>
    </w:p>
    <w:p>
      <w:pPr>
        <w:spacing w:after="60" w:line="264"/>
      </w:pPr>
      <w:r>
        <w:rPr>
          <w:b/>
          <w:bCs/>
          <w:sz w:val="20"/>
          <w:szCs w:val="20"/>
        </w:rPr>
        <w:t xml:space="preserve">Телефон</w:t>
      </w:r>
    </w:p>
    <w:p>
      <w:pPr>
        <w:spacing w:after="100" w:line="264"/>
      </w:pPr>
      <w:r>
        <w:rPr>
          <w:sz w:val="20"/>
          <w:szCs w:val="20"/>
        </w:rPr>
        <w:t xml:space="preserve">+7 (812) 329-07-15</w:t>
      </w:r>
    </w:p>
    <w:p>
      <w:pPr>
        <w:spacing w:after="200"/>
      </w:pPr>
    </w:p>
    <w:tbl>
      <w:tblPr>
        <w:tblW w:type="dxa" w:w="9906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906"/>
      </w:tblGrid>
      <w:tr>
        <w:tc>
          <w:tcPr>
            <w:tcW w:type="dxa" w:w="9906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pPr>
              <w:spacing w:after="0"/>
            </w:pPr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2: ИДЕНТИФИКАЦИЯ ОПАСНОСТИ</w:t>
            </w:r>
          </w:p>
        </w:tc>
      </w:tr>
    </w:tbl>
    <w:p>
      <w:pPr>
        <w:spacing w:after="120"/>
      </w:pPr>
    </w:p>
    <w:p>
      <w:pPr>
        <w:spacing w:after="60" w:line="264"/>
      </w:pPr>
      <w:r>
        <w:rPr>
          <w:b/>
          <w:bCs/>
          <w:sz w:val="20"/>
          <w:szCs w:val="20"/>
        </w:rPr>
        <w:t xml:space="preserve">2.1 Классификация опасности</w:t>
      </w:r>
    </w:p>
    <w:p>
      <w:pPr>
        <w:spacing w:after="100" w:line="264"/>
      </w:pPr>
      <w:r>
        <w:rPr>
          <w:sz w:val="20"/>
          <w:szCs w:val="20"/>
        </w:rPr>
        <w:t xml:space="preserve">Малоопасная продукция по степени воздействия на организм: 4 класс опасности.</w:t>
      </w:r>
    </w:p>
    <w:p>
      <w:pPr>
        <w:spacing w:after="60" w:line="264"/>
      </w:pPr>
      <w:r>
        <w:rPr>
          <w:b/>
          <w:bCs/>
          <w:sz w:val="20"/>
          <w:szCs w:val="20"/>
        </w:rPr>
        <w:t xml:space="preserve">2.2 Элементы маркировки</w:t>
      </w:r>
    </w:p>
    <w:p>
      <w:pPr>
        <w:spacing w:after="100" w:line="264"/>
      </w:pPr>
      <w:r>
        <w:rPr>
          <w:sz w:val="20"/>
          <w:szCs w:val="20"/>
        </w:rPr>
        <w:t xml:space="preserve">Сигнальное слово: «Осторожно»</w:t>
      </w:r>
    </w:p>
    <w:p>
      <w:pPr>
        <w:spacing w:after="100" w:line="264"/>
      </w:pPr>
      <w:r>
        <w:rPr>
          <w:sz w:val="20"/>
          <w:szCs w:val="20"/>
        </w:rPr>
        <w:t xml:space="preserve">Символы (знаки) опасности: не классифицируются</w:t>
      </w:r>
    </w:p>
    <w:p>
      <w:pPr>
        <w:spacing w:after="100" w:line="264"/>
      </w:pPr>
      <w:r>
        <w:rPr>
          <w:sz w:val="20"/>
          <w:szCs w:val="20"/>
        </w:rPr>
        <w:t xml:space="preserve">Краткая характеристика опасности (Н-фразы): H227 — горючая жидкость; H332 — вредно при вдыхании</w:t>
      </w:r>
    </w:p>
    <w:p>
      <w:pPr>
        <w:spacing w:after="60" w:line="264"/>
      </w:pPr>
      <w:r>
        <w:rPr>
          <w:b/>
          <w:bCs/>
          <w:sz w:val="20"/>
          <w:szCs w:val="20"/>
        </w:rPr>
        <w:t xml:space="preserve">Меры по предупреждению опасности (Р-фразы)</w:t>
      </w:r>
    </w:p>
    <w:p>
      <w:pPr>
        <w:spacing w:after="0" w:line="264"/>
      </w:pPr>
      <w:r>
        <w:rPr>
          <w:sz w:val="20"/>
          <w:szCs w:val="20"/>
        </w:rPr>
        <w:t xml:space="preserve">●  P210: Беречь от источников воспламенения / нагревания / искр / открытого огня. Не курить</w:t>
      </w:r>
    </w:p>
    <w:p>
      <w:pPr>
        <w:spacing w:after="0" w:line="264"/>
      </w:pPr>
      <w:r>
        <w:rPr>
          <w:sz w:val="20"/>
          <w:szCs w:val="20"/>
        </w:rPr>
        <w:t xml:space="preserve">●  P261: Избегать вдыхания газа / пара / пыли / аэрозолей</w:t>
      </w:r>
    </w:p>
    <w:p>
      <w:pPr>
        <w:spacing w:after="0" w:line="264"/>
      </w:pPr>
      <w:r>
        <w:rPr>
          <w:sz w:val="20"/>
          <w:szCs w:val="20"/>
        </w:rPr>
        <w:t xml:space="preserve">●  P271: Использовать только на открытом воздухе или в хорошо вентилируемом помещении</w:t>
      </w:r>
    </w:p>
    <w:p>
      <w:pPr>
        <w:spacing w:after="0" w:line="264"/>
      </w:pPr>
      <w:r>
        <w:rPr>
          <w:sz w:val="20"/>
          <w:szCs w:val="20"/>
        </w:rPr>
        <w:t xml:space="preserve">●  P280: Использовать перчатки / спецодежду / средства защиты глаз / лица</w:t>
      </w:r>
    </w:p>
    <w:p>
      <w:pPr>
        <w:spacing w:after="0" w:line="264"/>
      </w:pPr>
      <w:r>
        <w:rPr>
          <w:sz w:val="20"/>
          <w:szCs w:val="20"/>
        </w:rPr>
        <w:t xml:space="preserve">●  P304+P340+P312: ПРИ ВДЫХАНИИ: Свежий воздух, покой. Обратиться за медицинской помощью при плохом самочувствии</w:t>
      </w:r>
    </w:p>
    <w:p>
      <w:pPr>
        <w:spacing w:after="0" w:line="264"/>
      </w:pPr>
      <w:r>
        <w:rPr>
          <w:sz w:val="20"/>
          <w:szCs w:val="20"/>
        </w:rPr>
        <w:t xml:space="preserve">●  P370+P378: При пожаре тушить пожаротушащими средствами, подходящими для горючих жидкостей</w:t>
      </w:r>
    </w:p>
    <w:p>
      <w:pPr>
        <w:spacing w:after="100" w:line="264"/>
      </w:pPr>
      <w:r>
        <w:rPr>
          <w:sz w:val="20"/>
          <w:szCs w:val="20"/>
        </w:rPr>
        <w:t xml:space="preserve">●  P403+P235: Хранить в прохладном, хорошо вентилируемом месте</w:t>
      </w:r>
    </w:p>
    <w:p>
      <w:pPr>
        <w:spacing w:after="200"/>
      </w:pPr>
    </w:p>
    <w:tbl>
      <w:tblPr>
        <w:tblW w:type="dxa" w:w="9906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906"/>
      </w:tblGrid>
      <w:tr>
        <w:tc>
          <w:tcPr>
            <w:tcW w:type="dxa" w:w="9906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pPr>
              <w:spacing w:after="0"/>
            </w:pPr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3: СОСТАВ / ИНФОРМАЦИЯ О КОМПОНЕНТАХ</w:t>
            </w:r>
          </w:p>
        </w:tc>
      </w:tr>
    </w:tbl>
    <w:p>
      <w:pPr>
        <w:spacing w:after="120"/>
      </w:pPr>
    </w:p>
    <w:tbl>
      <w:tblPr>
        <w:tblW w:type="dxa" w:w="9906"/>
        <w:tblBorders>
          <w:top w:val="single" w:color="8EA9DB" w:sz="4"/>
          <w:left w:val="single" w:color="8EA9DB" w:sz="4"/>
          <w:bottom w:val="single" w:color="8EA9DB" w:sz="4"/>
          <w:right w:val="single" w:color="8EA9DB" w:sz="4"/>
          <w:insideH w:val="single" w:color="8EA9DB" w:sz="4"/>
          <w:insideV w:val="single" w:color="8EA9DB" w:sz="4"/>
        </w:tblBorders>
      </w:tblPr>
      <w:tblGrid>
        <w:gridCol w:w="4500"/>
        <w:gridCol w:w="2200"/>
        <w:gridCol w:w="2326"/>
      </w:tblGrid>
      <w:tr>
        <w:trPr>
          <w:tblHeader/>
        </w:trPr>
        <w:tc>
          <w:tcPr>
            <w:tcW w:type="dxa" w:w="4500"/>
            <w:shd w:fill="D9E2F3" w:color="auto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64"/>
            </w:pPr>
            <w:r>
              <w:rPr>
                <w:b/>
                <w:bCs/>
                <w:sz w:val="18"/>
                <w:szCs w:val="18"/>
              </w:rPr>
              <w:t xml:space="preserve">Вещество</w:t>
            </w:r>
          </w:p>
        </w:tc>
        <w:tc>
          <w:tcPr>
            <w:tcW w:type="dxa" w:w="2200"/>
            <w:shd w:fill="D9E2F3" w:color="auto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64"/>
            </w:pPr>
            <w:r>
              <w:rPr>
                <w:b/>
                <w:bCs/>
                <w:sz w:val="18"/>
                <w:szCs w:val="18"/>
              </w:rPr>
              <w:t xml:space="preserve">CAS</w:t>
            </w:r>
          </w:p>
        </w:tc>
        <w:tc>
          <w:tcPr>
            <w:tcW w:type="dxa" w:w="2326"/>
            <w:shd w:fill="D9E2F3" w:color="auto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64"/>
            </w:pPr>
            <w:r>
              <w:rPr>
                <w:b/>
                <w:bCs/>
                <w:sz w:val="18"/>
                <w:szCs w:val="18"/>
              </w:rPr>
              <w:t xml:space="preserve">Концентрация, %</w:t>
            </w:r>
          </w:p>
        </w:tc>
      </w:tr>
      <w:tr>
        <w:tc>
          <w:tcPr>
            <w:tcW w:type="dxa" w:w="4500"/>
            <w:tcMar>
              <w:top w:type="dxa" w:w="60"/>
              <w:left w:type="dxa" w:w="100"/>
              <w:bottom w:type="dxa" w:w="60"/>
              <w:right w:type="dxa" w:w="100"/>
            </w:tcMar>
            <w:vAlign w:val="top"/>
          </w:tcPr>
          <w:p>
            <w:pPr>
              <w:spacing w:after="0" w:line="264"/>
            </w:pPr>
            <w:r>
              <w:rPr>
                <w:sz w:val="18"/>
                <w:szCs w:val="18"/>
              </w:rPr>
              <w:t xml:space="preserve">Винилтриметоксисилан</w:t>
            </w:r>
          </w:p>
        </w:tc>
        <w:tc>
          <w:tcPr>
            <w:tcW w:type="dxa" w:w="2200"/>
            <w:tcMar>
              <w:top w:type="dxa" w:w="60"/>
              <w:left w:type="dxa" w:w="100"/>
              <w:bottom w:type="dxa" w:w="60"/>
              <w:right w:type="dxa" w:w="100"/>
            </w:tcMar>
            <w:vAlign w:val="top"/>
          </w:tcPr>
          <w:p>
            <w:pPr>
              <w:spacing w:after="0" w:line="264"/>
            </w:pPr>
            <w:r>
              <w:rPr>
                <w:sz w:val="18"/>
                <w:szCs w:val="18"/>
              </w:rPr>
              <w:t xml:space="preserve">2768-02-7</w:t>
            </w:r>
          </w:p>
        </w:tc>
        <w:tc>
          <w:tcPr>
            <w:tcW w:type="dxa" w:w="2326"/>
            <w:tcMar>
              <w:top w:type="dxa" w:w="60"/>
              <w:left w:type="dxa" w:w="100"/>
              <w:bottom w:type="dxa" w:w="60"/>
              <w:right w:type="dxa" w:w="100"/>
            </w:tcMar>
            <w:vAlign w:val="top"/>
          </w:tcPr>
          <w:p>
            <w:pPr>
              <w:spacing w:after="0" w:line="264"/>
            </w:pPr>
            <w:r>
              <w:rPr>
                <w:sz w:val="18"/>
                <w:szCs w:val="18"/>
              </w:rPr>
              <w:t xml:space="preserve">2–4</w:t>
            </w:r>
          </w:p>
        </w:tc>
      </w:tr>
    </w:tbl>
    <w:p>
      <w:pPr>
        <w:spacing w:after="200"/>
      </w:pPr>
    </w:p>
    <w:tbl>
      <w:tblPr>
        <w:tblW w:type="dxa" w:w="9906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906"/>
      </w:tblGrid>
      <w:tr>
        <w:tc>
          <w:tcPr>
            <w:tcW w:type="dxa" w:w="9906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pPr>
              <w:spacing w:after="0"/>
            </w:pPr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4: МЕРЫ ПЕРВОЙ ПОМОЩИ</w:t>
            </w:r>
          </w:p>
        </w:tc>
      </w:tr>
    </w:tbl>
    <w:p>
      <w:pPr>
        <w:spacing w:after="120"/>
      </w:pPr>
    </w:p>
    <w:p>
      <w:pPr>
        <w:spacing w:after="60" w:line="264"/>
      </w:pPr>
      <w:r>
        <w:rPr>
          <w:b/>
          <w:bCs/>
          <w:sz w:val="20"/>
          <w:szCs w:val="20"/>
        </w:rPr>
        <w:t xml:space="preserve">Общая информация</w:t>
      </w:r>
    </w:p>
    <w:p>
      <w:pPr>
        <w:spacing w:after="100" w:line="264"/>
      </w:pPr>
      <w:r>
        <w:rPr>
          <w:sz w:val="20"/>
          <w:szCs w:val="20"/>
        </w:rPr>
        <w:t xml:space="preserve">Во всех сомнительных случаях, а также при появлении первых симптомов следует немедленно обратиться к врачу.</w:t>
      </w:r>
    </w:p>
    <w:p>
      <w:pPr>
        <w:spacing w:after="60" w:line="264"/>
      </w:pPr>
      <w:r>
        <w:rPr>
          <w:b/>
          <w:bCs/>
          <w:sz w:val="20"/>
          <w:szCs w:val="20"/>
        </w:rPr>
        <w:t xml:space="preserve">При вдыхании</w:t>
      </w:r>
    </w:p>
    <w:p>
      <w:pPr>
        <w:spacing w:after="100" w:line="264"/>
      </w:pPr>
      <w:r>
        <w:rPr>
          <w:sz w:val="20"/>
          <w:szCs w:val="20"/>
        </w:rPr>
        <w:t xml:space="preserve">Свежий воздух.</w:t>
      </w:r>
    </w:p>
    <w:p>
      <w:pPr>
        <w:spacing w:after="60" w:line="264"/>
      </w:pPr>
      <w:r>
        <w:rPr>
          <w:b/>
          <w:bCs/>
          <w:sz w:val="20"/>
          <w:szCs w:val="20"/>
        </w:rPr>
        <w:t xml:space="preserve">При попадании внутрь</w:t>
      </w:r>
    </w:p>
    <w:p>
      <w:pPr>
        <w:spacing w:after="100" w:line="264"/>
      </w:pPr>
      <w:r>
        <w:rPr>
          <w:sz w:val="20"/>
          <w:szCs w:val="20"/>
        </w:rPr>
        <w:t xml:space="preserve">Не вызывать рвоту при отсутствии специального указания врача. Никогда ничего не давать в рот человеку, потерявшему сознание. При нахождении пострадавшего в сознании — промыть рот водой. Обратиться за медицинской помощью при появлении симптомов.</w:t>
      </w:r>
    </w:p>
    <w:p>
      <w:pPr>
        <w:spacing w:after="60" w:line="264"/>
      </w:pPr>
      <w:r>
        <w:rPr>
          <w:b/>
          <w:bCs/>
          <w:sz w:val="20"/>
          <w:szCs w:val="20"/>
        </w:rPr>
        <w:t xml:space="preserve">При попадании в глаза</w:t>
      </w:r>
    </w:p>
    <w:p>
      <w:pPr>
        <w:spacing w:after="100" w:line="264"/>
      </w:pPr>
      <w:r>
        <w:rPr>
          <w:sz w:val="20"/>
          <w:szCs w:val="20"/>
        </w:rPr>
        <w:t xml:space="preserve">Промыть большим количеством воды.</w:t>
      </w:r>
    </w:p>
    <w:p>
      <w:pPr>
        <w:spacing w:after="60" w:line="264"/>
      </w:pPr>
      <w:r>
        <w:rPr>
          <w:b/>
          <w:bCs/>
          <w:sz w:val="20"/>
          <w:szCs w:val="20"/>
        </w:rPr>
        <w:t xml:space="preserve">При контакте с кожей</w:t>
      </w:r>
    </w:p>
    <w:p>
      <w:pPr>
        <w:spacing w:after="100" w:line="264"/>
      </w:pPr>
      <w:r>
        <w:rPr>
          <w:sz w:val="20"/>
          <w:szCs w:val="20"/>
        </w:rPr>
        <w:t xml:space="preserve">Промыть большим количеством мыльной воды. Удалить загрязнённую одежду.</w:t>
      </w:r>
    </w:p>
    <w:p>
      <w:pPr>
        <w:spacing w:after="200"/>
      </w:pPr>
    </w:p>
    <w:tbl>
      <w:tblPr>
        <w:tblW w:type="dxa" w:w="9906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906"/>
      </w:tblGrid>
      <w:tr>
        <w:tc>
          <w:tcPr>
            <w:tcW w:type="dxa" w:w="9906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pPr>
              <w:spacing w:after="0"/>
            </w:pPr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5: МЕРЫ ПОЖАРОТУШЕНИЯ</w:t>
            </w:r>
          </w:p>
        </w:tc>
      </w:tr>
    </w:tbl>
    <w:p>
      <w:pPr>
        <w:spacing w:after="120"/>
      </w:pPr>
    </w:p>
    <w:p>
      <w:pPr>
        <w:spacing w:after="60" w:line="264"/>
      </w:pPr>
      <w:r>
        <w:rPr>
          <w:b/>
          <w:bCs/>
          <w:sz w:val="20"/>
          <w:szCs w:val="20"/>
        </w:rPr>
        <w:t xml:space="preserve">Общие сведения</w:t>
      </w:r>
    </w:p>
    <w:p>
      <w:pPr>
        <w:spacing w:after="100" w:line="264"/>
      </w:pPr>
      <w:r>
        <w:rPr>
          <w:sz w:val="20"/>
          <w:szCs w:val="20"/>
        </w:rPr>
        <w:t xml:space="preserve">Горючая жидкость.</w:t>
      </w:r>
    </w:p>
    <w:p>
      <w:pPr>
        <w:spacing w:after="60" w:line="264"/>
      </w:pPr>
      <w:r>
        <w:rPr>
          <w:b/>
          <w:bCs/>
          <w:sz w:val="20"/>
          <w:szCs w:val="20"/>
        </w:rPr>
        <w:t xml:space="preserve">Средства пожаротушения</w:t>
      </w:r>
    </w:p>
    <w:p>
      <w:pPr>
        <w:spacing w:after="100" w:line="264"/>
      </w:pPr>
      <w:r>
        <w:rPr>
          <w:sz w:val="20"/>
          <w:szCs w:val="20"/>
        </w:rPr>
        <w:t xml:space="preserve">Тонкораспылённая вода, пена химическая или воздушно-механическая, газообразный диоксид углерода, песок, кошма.</w:t>
      </w:r>
    </w:p>
    <w:p>
      <w:pPr>
        <w:spacing w:after="60" w:line="264"/>
      </w:pPr>
      <w:r>
        <w:rPr>
          <w:b/>
          <w:bCs/>
          <w:sz w:val="20"/>
          <w:szCs w:val="20"/>
        </w:rPr>
        <w:t xml:space="preserve">Средства индивидуальной защиты</w:t>
      </w:r>
    </w:p>
    <w:p>
      <w:pPr>
        <w:spacing w:after="100" w:line="264"/>
      </w:pPr>
      <w:r>
        <w:rPr>
          <w:sz w:val="20"/>
          <w:szCs w:val="20"/>
        </w:rPr>
        <w:t xml:space="preserve">Противогаз марки А.</w:t>
      </w:r>
    </w:p>
    <w:p>
      <w:pPr>
        <w:spacing w:after="60" w:line="264"/>
      </w:pPr>
      <w:r>
        <w:rPr>
          <w:b/>
          <w:bCs/>
          <w:sz w:val="20"/>
          <w:szCs w:val="20"/>
        </w:rPr>
        <w:t xml:space="preserve">Показатели пожаровзрывоопасности</w:t>
      </w:r>
    </w:p>
    <w:p>
      <w:pPr>
        <w:spacing w:after="100" w:line="264"/>
      </w:pPr>
      <w:r>
        <w:rPr>
          <w:sz w:val="20"/>
          <w:szCs w:val="20"/>
        </w:rPr>
        <w:t xml:space="preserve">Группа горючести: Г3. Группа воспламеняемости: В3.</w:t>
      </w:r>
    </w:p>
    <w:p>
      <w:pPr>
        <w:spacing w:after="200"/>
      </w:pPr>
    </w:p>
    <w:tbl>
      <w:tblPr>
        <w:tblW w:type="dxa" w:w="9906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906"/>
      </w:tblGrid>
      <w:tr>
        <w:tc>
          <w:tcPr>
            <w:tcW w:type="dxa" w:w="9906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pPr>
              <w:spacing w:after="0"/>
            </w:pPr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6: МЕРЫ ПРИ СЛУЧАЙНОМ ВЫСВОБОЖДЕНИИ</w:t>
            </w:r>
          </w:p>
        </w:tc>
      </w:tr>
    </w:tbl>
    <w:p>
      <w:pPr>
        <w:spacing w:after="120"/>
      </w:pPr>
    </w:p>
    <w:p>
      <w:pPr>
        <w:spacing w:after="100" w:line="264"/>
      </w:pPr>
      <w:r>
        <w:rPr>
          <w:sz w:val="20"/>
          <w:szCs w:val="20"/>
        </w:rPr>
        <w:t xml:space="preserve">Обеспечить достаточную вентиляцию.</w:t>
      </w:r>
    </w:p>
    <w:p>
      <w:pPr>
        <w:spacing w:after="60" w:line="264"/>
      </w:pPr>
      <w:r>
        <w:rPr>
          <w:b/>
          <w:bCs/>
          <w:sz w:val="20"/>
          <w:szCs w:val="20"/>
        </w:rPr>
        <w:t xml:space="preserve">Меры по защите окружающей среды</w:t>
      </w:r>
    </w:p>
    <w:p>
      <w:pPr>
        <w:spacing w:after="100" w:line="264"/>
      </w:pPr>
      <w:r>
        <w:rPr>
          <w:sz w:val="20"/>
          <w:szCs w:val="20"/>
        </w:rPr>
        <w:t xml:space="preserve">Нет необходимости в каких-либо специальных мерах.</w:t>
      </w:r>
    </w:p>
    <w:p>
      <w:pPr>
        <w:spacing w:after="60" w:line="264"/>
      </w:pPr>
      <w:r>
        <w:rPr>
          <w:b/>
          <w:bCs/>
          <w:sz w:val="20"/>
          <w:szCs w:val="20"/>
        </w:rPr>
        <w:t xml:space="preserve">Методы и материалы для локализации и очистки</w:t>
      </w:r>
    </w:p>
    <w:p>
      <w:pPr>
        <w:spacing w:after="100" w:line="264"/>
      </w:pPr>
      <w:r>
        <w:rPr>
          <w:sz w:val="20"/>
          <w:szCs w:val="20"/>
        </w:rPr>
        <w:t xml:space="preserve">Собрать при помощи связывающего жидкость материала (песка, кизельгура, кислотно-вяжущего средства, универсальных вяжущих средств, опилок). Утилизировать заражённый материал как отходы.</w:t>
      </w:r>
    </w:p>
    <w:p>
      <w:pPr>
        <w:spacing w:after="200"/>
      </w:pPr>
    </w:p>
    <w:tbl>
      <w:tblPr>
        <w:tblW w:type="dxa" w:w="9906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906"/>
      </w:tblGrid>
      <w:tr>
        <w:tc>
          <w:tcPr>
            <w:tcW w:type="dxa" w:w="9906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pPr>
              <w:spacing w:after="0"/>
            </w:pPr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7: ОБРАЩЕНИЕ И ХРАНЕНИЕ</w:t>
            </w:r>
          </w:p>
        </w:tc>
      </w:tr>
    </w:tbl>
    <w:p>
      <w:pPr>
        <w:spacing w:after="120"/>
      </w:pPr>
    </w:p>
    <w:p>
      <w:pPr>
        <w:spacing w:after="100" w:line="264"/>
      </w:pPr>
      <w:r>
        <w:rPr>
          <w:sz w:val="20"/>
          <w:szCs w:val="20"/>
        </w:rPr>
        <w:t xml:space="preserve">Применять исключительно в хорошо вентилируемых зонах.</w:t>
      </w:r>
    </w:p>
    <w:p>
      <w:pPr>
        <w:spacing w:after="60" w:line="264"/>
      </w:pPr>
      <w:r>
        <w:rPr>
          <w:b/>
          <w:bCs/>
          <w:sz w:val="20"/>
          <w:szCs w:val="20"/>
        </w:rPr>
        <w:t xml:space="preserve">Указания по защите от пожаров и взрывов</w:t>
      </w:r>
    </w:p>
    <w:p>
      <w:pPr>
        <w:spacing w:after="100" w:line="264"/>
      </w:pPr>
      <w:r>
        <w:rPr>
          <w:sz w:val="20"/>
          <w:szCs w:val="20"/>
        </w:rPr>
        <w:t xml:space="preserve">Нет необходимости в каких-либо специальных мерах.</w:t>
      </w:r>
    </w:p>
    <w:p>
      <w:pPr>
        <w:spacing w:after="60" w:line="264"/>
      </w:pPr>
      <w:r>
        <w:rPr>
          <w:b/>
          <w:bCs/>
          <w:sz w:val="20"/>
          <w:szCs w:val="20"/>
        </w:rPr>
        <w:t xml:space="preserve">Условия безопасного хранения, включая несовместимости</w:t>
      </w:r>
    </w:p>
    <w:p>
      <w:pPr>
        <w:spacing w:after="100" w:line="264"/>
      </w:pPr>
      <w:r>
        <w:rPr>
          <w:sz w:val="20"/>
          <w:szCs w:val="20"/>
        </w:rPr>
        <w:t xml:space="preserve">Требования, предъявляемые к складским помещениям и таре: никаких особенных требований не предъявляется. Указания по совместимости с другими веществами при хранении: не требуется. Дальнейшие данные по условиям хранения: защищать от влажности воздуха и от воды.</w:t>
      </w:r>
    </w:p>
    <w:p>
      <w:pPr>
        <w:spacing w:after="200"/>
      </w:pPr>
    </w:p>
    <w:tbl>
      <w:tblPr>
        <w:tblW w:type="dxa" w:w="9906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906"/>
      </w:tblGrid>
      <w:tr>
        <w:tc>
          <w:tcPr>
            <w:tcW w:type="dxa" w:w="9906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pPr>
              <w:spacing w:after="0"/>
            </w:pPr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8: КОНТРОЛЬ ВОЗДЕЙСТВИЯ / СРЕДСТВА ИНДИВИДУАЛЬНОЙ ЗАЩИТЫ</w:t>
            </w:r>
          </w:p>
        </w:tc>
      </w:tr>
    </w:tbl>
    <w:p>
      <w:pPr>
        <w:spacing w:after="120"/>
      </w:pPr>
    </w:p>
    <w:p>
      <w:pPr>
        <w:spacing w:after="60" w:line="264"/>
      </w:pPr>
      <w:r>
        <w:rPr>
          <w:b/>
          <w:bCs/>
          <w:sz w:val="20"/>
          <w:szCs w:val="20"/>
        </w:rPr>
        <w:t xml:space="preserve">Индивидуальная защита</w:t>
      </w:r>
    </w:p>
    <w:p>
      <w:pPr>
        <w:spacing w:after="100" w:line="264"/>
      </w:pPr>
      <w:r>
        <w:rPr>
          <w:sz w:val="20"/>
          <w:szCs w:val="20"/>
        </w:rPr>
        <w:t xml:space="preserve">Лица, занятые на производстве, должны проходить обязательный периодический медицинский осмотр.</w:t>
      </w:r>
    </w:p>
    <w:p>
      <w:pPr>
        <w:spacing w:after="60" w:line="264"/>
      </w:pPr>
      <w:r>
        <w:rPr>
          <w:b/>
          <w:bCs/>
          <w:sz w:val="20"/>
          <w:szCs w:val="20"/>
        </w:rPr>
        <w:t xml:space="preserve">Защита органов дыхания</w:t>
      </w:r>
    </w:p>
    <w:p>
      <w:pPr>
        <w:spacing w:after="100" w:line="264"/>
      </w:pPr>
      <w:r>
        <w:rPr>
          <w:sz w:val="20"/>
          <w:szCs w:val="20"/>
        </w:rPr>
        <w:t xml:space="preserve">Не требуется при достаточной вентиляции. При недостаточной вентиляции требуется защита органов дыхания.</w:t>
      </w:r>
    </w:p>
    <w:p>
      <w:pPr>
        <w:spacing w:after="60" w:line="264"/>
      </w:pPr>
      <w:r>
        <w:rPr>
          <w:b/>
          <w:bCs/>
          <w:sz w:val="20"/>
          <w:szCs w:val="20"/>
        </w:rPr>
        <w:t xml:space="preserve">Защита кожи</w:t>
      </w:r>
    </w:p>
    <w:p>
      <w:pPr>
        <w:spacing w:after="100" w:line="264"/>
      </w:pPr>
      <w:r>
        <w:rPr>
          <w:sz w:val="20"/>
          <w:szCs w:val="20"/>
        </w:rPr>
        <w:t xml:space="preserve">Перчатки резиновые технические.</w:t>
      </w:r>
    </w:p>
    <w:p>
      <w:pPr>
        <w:spacing w:after="60" w:line="264"/>
      </w:pPr>
      <w:r>
        <w:rPr>
          <w:b/>
          <w:bCs/>
          <w:sz w:val="20"/>
          <w:szCs w:val="20"/>
        </w:rPr>
        <w:t xml:space="preserve">Защита глаз</w:t>
      </w:r>
    </w:p>
    <w:p>
      <w:pPr>
        <w:spacing w:after="100" w:line="264"/>
      </w:pPr>
      <w:r>
        <w:rPr>
          <w:sz w:val="20"/>
          <w:szCs w:val="20"/>
        </w:rPr>
        <w:t xml:space="preserve">Очки защитные.</w:t>
      </w:r>
    </w:p>
    <w:p>
      <w:pPr>
        <w:spacing w:after="200"/>
      </w:pPr>
    </w:p>
    <w:tbl>
      <w:tblPr>
        <w:tblW w:type="dxa" w:w="9906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906"/>
      </w:tblGrid>
      <w:tr>
        <w:tc>
          <w:tcPr>
            <w:tcW w:type="dxa" w:w="9906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pPr>
              <w:spacing w:after="0"/>
            </w:pPr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9: ФИЗИЧЕСКИЕ И ХИМИЧЕСКИЕ СВОЙСТВА</w:t>
            </w:r>
          </w:p>
        </w:tc>
      </w:tr>
    </w:tbl>
    <w:p>
      <w:pPr>
        <w:spacing w:after="120"/>
      </w:pPr>
    </w:p>
    <w:p>
      <w:pPr>
        <w:spacing w:after="100" w:line="264"/>
      </w:pPr>
      <w:r>
        <w:rPr>
          <w:sz w:val="20"/>
          <w:szCs w:val="20"/>
        </w:rPr>
        <w:t xml:space="preserve">Физическое состояние: жидкость.</w:t>
      </w:r>
    </w:p>
    <w:tbl>
      <w:tblPr>
        <w:tblW w:type="dxa" w:w="9906"/>
        <w:tblBorders>
          <w:top w:val="single" w:color="8EA9DB" w:sz="4"/>
          <w:left w:val="single" w:color="8EA9DB" w:sz="4"/>
          <w:bottom w:val="single" w:color="8EA9DB" w:sz="4"/>
          <w:right w:val="single" w:color="8EA9DB" w:sz="4"/>
          <w:insideH w:val="single" w:color="8EA9DB" w:sz="4"/>
          <w:insideV w:val="single" w:color="8EA9DB" w:sz="4"/>
        </w:tblBorders>
      </w:tblPr>
      <w:tblGrid>
        <w:gridCol w:w="5000"/>
        <w:gridCol w:w="5026"/>
      </w:tblGrid>
      <w:tr>
        <w:trPr>
          <w:tblHeader/>
        </w:trPr>
        <w:tc>
          <w:tcPr>
            <w:tcW w:type="dxa" w:w="5000"/>
            <w:shd w:fill="D9E2F3" w:color="auto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64"/>
            </w:pPr>
            <w:r>
              <w:rPr>
                <w:b/>
                <w:bCs/>
                <w:sz w:val="18"/>
                <w:szCs w:val="18"/>
              </w:rPr>
              <w:t xml:space="preserve">Показатель</w:t>
            </w:r>
          </w:p>
        </w:tc>
        <w:tc>
          <w:tcPr>
            <w:tcW w:type="dxa" w:w="5026"/>
            <w:shd w:fill="D9E2F3" w:color="auto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64"/>
            </w:pPr>
            <w:r>
              <w:rPr>
                <w:b/>
                <w:bCs/>
                <w:sz w:val="18"/>
                <w:szCs w:val="18"/>
              </w:rPr>
              <w:t xml:space="preserve">Значение</w:t>
            </w:r>
          </w:p>
        </w:tc>
      </w:tr>
      <w:tr>
        <w:tc>
          <w:tcPr>
            <w:tcW w:type="dxa" w:w="5000"/>
            <w:tcMar>
              <w:top w:type="dxa" w:w="60"/>
              <w:left w:type="dxa" w:w="100"/>
              <w:bottom w:type="dxa" w:w="60"/>
              <w:right w:type="dxa" w:w="100"/>
            </w:tcMar>
            <w:vAlign w:val="top"/>
          </w:tcPr>
          <w:p>
            <w:pPr>
              <w:spacing w:after="0" w:line="264"/>
            </w:pPr>
            <w:r>
              <w:rPr>
                <w:sz w:val="18"/>
                <w:szCs w:val="18"/>
              </w:rPr>
              <w:t xml:space="preserve">Внешний вид</w:t>
            </w:r>
          </w:p>
        </w:tc>
        <w:tc>
          <w:tcPr>
            <w:tcW w:type="dxa" w:w="5026"/>
            <w:tcMar>
              <w:top w:type="dxa" w:w="60"/>
              <w:left w:type="dxa" w:w="100"/>
              <w:bottom w:type="dxa" w:w="60"/>
              <w:right w:type="dxa" w:w="100"/>
            </w:tcMar>
            <w:vAlign w:val="top"/>
          </w:tcPr>
          <w:p>
            <w:pPr>
              <w:spacing w:after="0" w:line="264"/>
            </w:pPr>
            <w:r>
              <w:rPr>
                <w:sz w:val="18"/>
                <w:szCs w:val="18"/>
              </w:rPr>
              <w:t xml:space="preserve">Пастообразная масса желто-оранжевого цвета</w:t>
            </w:r>
          </w:p>
        </w:tc>
      </w:tr>
      <w:tr>
        <w:tc>
          <w:tcPr>
            <w:tcW w:type="dxa" w:w="5000"/>
            <w:tcMar>
              <w:top w:type="dxa" w:w="60"/>
              <w:left w:type="dxa" w:w="100"/>
              <w:bottom w:type="dxa" w:w="60"/>
              <w:right w:type="dxa" w:w="100"/>
            </w:tcMar>
            <w:vAlign w:val="top"/>
          </w:tcPr>
          <w:p>
            <w:pPr>
              <w:spacing w:after="0" w:line="264"/>
            </w:pPr>
            <w:r>
              <w:rPr>
                <w:sz w:val="18"/>
                <w:szCs w:val="18"/>
              </w:rPr>
              <w:t xml:space="preserve">Плотность (при +25°C)</w:t>
            </w:r>
          </w:p>
        </w:tc>
        <w:tc>
          <w:tcPr>
            <w:tcW w:type="dxa" w:w="5026"/>
            <w:tcMar>
              <w:top w:type="dxa" w:w="60"/>
              <w:left w:type="dxa" w:w="100"/>
              <w:bottom w:type="dxa" w:w="60"/>
              <w:right w:type="dxa" w:w="100"/>
            </w:tcMar>
            <w:vAlign w:val="top"/>
          </w:tcPr>
          <w:p>
            <w:pPr>
              <w:spacing w:after="0" w:line="264"/>
            </w:pPr>
            <w:r>
              <w:rPr>
                <w:sz w:val="18"/>
                <w:szCs w:val="18"/>
              </w:rPr>
              <w:t xml:space="preserve">1,60 – 1,70 г/см³</w:t>
            </w:r>
          </w:p>
        </w:tc>
      </w:tr>
      <w:tr>
        <w:tc>
          <w:tcPr>
            <w:tcW w:type="dxa" w:w="5000"/>
            <w:tcMar>
              <w:top w:type="dxa" w:w="60"/>
              <w:left w:type="dxa" w:w="100"/>
              <w:bottom w:type="dxa" w:w="60"/>
              <w:right w:type="dxa" w:w="100"/>
            </w:tcMar>
            <w:vAlign w:val="top"/>
          </w:tcPr>
          <w:p>
            <w:pPr>
              <w:spacing w:after="0" w:line="264"/>
            </w:pPr>
            <w:r>
              <w:rPr>
                <w:sz w:val="18"/>
                <w:szCs w:val="18"/>
              </w:rPr>
              <w:t xml:space="preserve">Время отлипа, не менее</w:t>
            </w:r>
          </w:p>
        </w:tc>
        <w:tc>
          <w:tcPr>
            <w:tcW w:type="dxa" w:w="5026"/>
            <w:tcMar>
              <w:top w:type="dxa" w:w="60"/>
              <w:left w:type="dxa" w:w="100"/>
              <w:bottom w:type="dxa" w:w="60"/>
              <w:right w:type="dxa" w:w="100"/>
            </w:tcMar>
            <w:vAlign w:val="top"/>
          </w:tcPr>
          <w:p>
            <w:pPr>
              <w:spacing w:after="0" w:line="264"/>
            </w:pPr>
            <w:r>
              <w:rPr>
                <w:sz w:val="18"/>
                <w:szCs w:val="18"/>
              </w:rPr>
              <w:t xml:space="preserve">40 мин</w:t>
            </w:r>
          </w:p>
        </w:tc>
      </w:tr>
      <w:tr>
        <w:tc>
          <w:tcPr>
            <w:tcW w:type="dxa" w:w="5000"/>
            <w:tcMar>
              <w:top w:type="dxa" w:w="60"/>
              <w:left w:type="dxa" w:w="100"/>
              <w:bottom w:type="dxa" w:w="60"/>
              <w:right w:type="dxa" w:w="100"/>
            </w:tcMar>
            <w:vAlign w:val="top"/>
          </w:tcPr>
          <w:p>
            <w:pPr>
              <w:spacing w:after="0" w:line="264"/>
            </w:pPr>
            <w:r>
              <w:rPr>
                <w:sz w:val="18"/>
                <w:szCs w:val="18"/>
              </w:rPr>
              <w:t xml:space="preserve">Рабочее время, не более</w:t>
            </w:r>
          </w:p>
        </w:tc>
        <w:tc>
          <w:tcPr>
            <w:tcW w:type="dxa" w:w="5026"/>
            <w:tcMar>
              <w:top w:type="dxa" w:w="60"/>
              <w:left w:type="dxa" w:w="100"/>
              <w:bottom w:type="dxa" w:w="60"/>
              <w:right w:type="dxa" w:w="100"/>
            </w:tcMar>
            <w:vAlign w:val="top"/>
          </w:tcPr>
          <w:p>
            <w:pPr>
              <w:spacing w:after="0" w:line="264"/>
            </w:pPr>
            <w:r>
              <w:rPr>
                <w:sz w:val="18"/>
                <w:szCs w:val="18"/>
              </w:rPr>
              <w:t xml:space="preserve">4 ч</w:t>
            </w:r>
          </w:p>
        </w:tc>
      </w:tr>
      <w:tr>
        <w:tc>
          <w:tcPr>
            <w:tcW w:type="dxa" w:w="5000"/>
            <w:tcMar>
              <w:top w:type="dxa" w:w="60"/>
              <w:left w:type="dxa" w:w="100"/>
              <w:bottom w:type="dxa" w:w="60"/>
              <w:right w:type="dxa" w:w="100"/>
            </w:tcMar>
            <w:vAlign w:val="top"/>
          </w:tcPr>
          <w:p>
            <w:pPr>
              <w:spacing w:after="0" w:line="264"/>
            </w:pPr>
            <w:r>
              <w:rPr>
                <w:sz w:val="18"/>
                <w:szCs w:val="18"/>
              </w:rPr>
              <w:t xml:space="preserve">Твёрдость по Шору A</w:t>
            </w:r>
          </w:p>
        </w:tc>
        <w:tc>
          <w:tcPr>
            <w:tcW w:type="dxa" w:w="5026"/>
            <w:tcMar>
              <w:top w:type="dxa" w:w="60"/>
              <w:left w:type="dxa" w:w="100"/>
              <w:bottom w:type="dxa" w:w="60"/>
              <w:right w:type="dxa" w:w="100"/>
            </w:tcMar>
            <w:vAlign w:val="top"/>
          </w:tcPr>
          <w:p>
            <w:pPr>
              <w:spacing w:after="0" w:line="264"/>
            </w:pPr>
            <w:r>
              <w:rPr>
                <w:sz w:val="18"/>
                <w:szCs w:val="18"/>
              </w:rPr>
              <w:t xml:space="preserve">55,0 – 65,0</w:t>
            </w:r>
          </w:p>
        </w:tc>
      </w:tr>
      <w:tr>
        <w:tc>
          <w:tcPr>
            <w:tcW w:type="dxa" w:w="5000"/>
            <w:tcMar>
              <w:top w:type="dxa" w:w="60"/>
              <w:left w:type="dxa" w:w="100"/>
              <w:bottom w:type="dxa" w:w="60"/>
              <w:right w:type="dxa" w:w="100"/>
            </w:tcMar>
            <w:vAlign w:val="top"/>
          </w:tcPr>
          <w:p>
            <w:pPr>
              <w:spacing w:after="0" w:line="264"/>
            </w:pPr>
            <w:r>
              <w:rPr>
                <w:sz w:val="18"/>
                <w:szCs w:val="18"/>
              </w:rPr>
              <w:t xml:space="preserve">Адгезионная прочность через 7 суток</w:t>
            </w:r>
          </w:p>
        </w:tc>
        <w:tc>
          <w:tcPr>
            <w:tcW w:type="dxa" w:w="5026"/>
            <w:tcMar>
              <w:top w:type="dxa" w:w="60"/>
              <w:left w:type="dxa" w:w="100"/>
              <w:bottom w:type="dxa" w:w="60"/>
              <w:right w:type="dxa" w:w="100"/>
            </w:tcMar>
            <w:vAlign w:val="top"/>
          </w:tcPr>
          <w:p>
            <w:pPr>
              <w:spacing w:after="0" w:line="264"/>
            </w:pPr>
            <w:r>
              <w:rPr>
                <w:sz w:val="18"/>
                <w:szCs w:val="18"/>
              </w:rPr>
              <w:t xml:space="preserve">Около 1,5 МПа</w:t>
            </w:r>
          </w:p>
        </w:tc>
      </w:tr>
    </w:tbl>
    <w:p>
      <w:pPr>
        <w:spacing w:after="200"/>
      </w:pPr>
    </w:p>
    <w:tbl>
      <w:tblPr>
        <w:tblW w:type="dxa" w:w="9906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906"/>
      </w:tblGrid>
      <w:tr>
        <w:tc>
          <w:tcPr>
            <w:tcW w:type="dxa" w:w="9906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pPr>
              <w:spacing w:after="0"/>
            </w:pPr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10: СТАБИЛЬНОСТЬ И РЕАКЦИОННАЯ СПОСОБНОСТЬ</w:t>
            </w:r>
          </w:p>
        </w:tc>
      </w:tr>
    </w:tbl>
    <w:p>
      <w:pPr>
        <w:spacing w:after="120"/>
      </w:pPr>
    </w:p>
    <w:p>
      <w:pPr>
        <w:spacing w:after="60" w:line="264"/>
      </w:pPr>
      <w:r>
        <w:rPr>
          <w:b/>
          <w:bCs/>
          <w:sz w:val="20"/>
          <w:szCs w:val="20"/>
        </w:rPr>
        <w:t xml:space="preserve">Условия, которых следует избегать</w:t>
      </w:r>
    </w:p>
    <w:p>
      <w:pPr>
        <w:spacing w:after="100" w:line="264"/>
      </w:pPr>
      <w:r>
        <w:rPr>
          <w:sz w:val="20"/>
          <w:szCs w:val="20"/>
        </w:rPr>
        <w:t xml:space="preserve">Химически стабилен при комнатной температуре. Избегать высоких температур.</w:t>
      </w:r>
    </w:p>
    <w:p>
      <w:pPr>
        <w:spacing w:after="60" w:line="264"/>
      </w:pPr>
      <w:r>
        <w:rPr>
          <w:b/>
          <w:bCs/>
          <w:sz w:val="20"/>
          <w:szCs w:val="20"/>
        </w:rPr>
        <w:t xml:space="preserve">Материалы, которых следует избегать</w:t>
      </w:r>
    </w:p>
    <w:p>
      <w:pPr>
        <w:spacing w:after="100" w:line="264"/>
      </w:pPr>
      <w:r>
        <w:rPr>
          <w:sz w:val="20"/>
          <w:szCs w:val="20"/>
        </w:rPr>
        <w:t xml:space="preserve">Несовместимость с водой, спиртами, щелочами и кислотами. При контакте с водой происходит необратимая реакция отверждения продукта.</w:t>
      </w:r>
    </w:p>
    <w:p>
      <w:pPr>
        <w:spacing w:after="60" w:line="264"/>
      </w:pPr>
      <w:r>
        <w:rPr>
          <w:b/>
          <w:bCs/>
          <w:sz w:val="20"/>
          <w:szCs w:val="20"/>
        </w:rPr>
        <w:t xml:space="preserve">Опасные продукты распада</w:t>
      </w:r>
    </w:p>
    <w:p>
      <w:pPr>
        <w:spacing w:after="100" w:line="264"/>
      </w:pPr>
      <w:r>
        <w:rPr>
          <w:sz w:val="20"/>
          <w:szCs w:val="20"/>
        </w:rPr>
        <w:t xml:space="preserve">Маловероятны при нормальном промышленном применении.</w:t>
      </w:r>
    </w:p>
    <w:p>
      <w:pPr>
        <w:spacing w:after="200"/>
      </w:pPr>
    </w:p>
    <w:tbl>
      <w:tblPr>
        <w:tblW w:type="dxa" w:w="9906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906"/>
      </w:tblGrid>
      <w:tr>
        <w:tc>
          <w:tcPr>
            <w:tcW w:type="dxa" w:w="9906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pPr>
              <w:spacing w:after="0"/>
            </w:pPr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11: ТОКСИКОЛОГИЧЕСКАЯ ИНФОРМАЦИЯ</w:t>
            </w:r>
          </w:p>
        </w:tc>
      </w:tr>
    </w:tbl>
    <w:p>
      <w:pPr>
        <w:spacing w:after="120"/>
      </w:pPr>
    </w:p>
    <w:p>
      <w:pPr>
        <w:spacing w:after="60" w:line="264"/>
      </w:pPr>
      <w:r>
        <w:rPr>
          <w:b/>
          <w:bCs/>
          <w:sz w:val="20"/>
          <w:szCs w:val="20"/>
        </w:rPr>
        <w:t xml:space="preserve">Острая токсичность</w:t>
      </w:r>
    </w:p>
    <w:p>
      <w:pPr>
        <w:spacing w:after="100" w:line="264"/>
      </w:pPr>
      <w:r>
        <w:rPr>
          <w:sz w:val="20"/>
          <w:szCs w:val="20"/>
        </w:rPr>
        <w:t xml:space="preserve">Умеренно опасная продукция по степени воздействия на организм: 3 класс опасности.</w:t>
      </w:r>
    </w:p>
    <w:p>
      <w:pPr>
        <w:spacing w:after="60" w:line="264"/>
      </w:pPr>
      <w:r>
        <w:rPr>
          <w:b/>
          <w:bCs/>
          <w:sz w:val="20"/>
          <w:szCs w:val="20"/>
        </w:rPr>
        <w:t xml:space="preserve">Кожно-раздражающее действие</w:t>
      </w:r>
    </w:p>
    <w:p>
      <w:pPr>
        <w:spacing w:after="100" w:line="264"/>
      </w:pPr>
      <w:r>
        <w:rPr>
          <w:sz w:val="20"/>
          <w:szCs w:val="20"/>
        </w:rPr>
        <w:t xml:space="preserve">Не обладает.</w:t>
      </w:r>
    </w:p>
    <w:p>
      <w:pPr>
        <w:spacing w:after="60" w:line="264"/>
      </w:pPr>
      <w:r>
        <w:rPr>
          <w:b/>
          <w:bCs/>
          <w:sz w:val="20"/>
          <w:szCs w:val="20"/>
        </w:rPr>
        <w:t xml:space="preserve">Раздражающее действие на слизистые оболочки</w:t>
      </w:r>
    </w:p>
    <w:p>
      <w:pPr>
        <w:spacing w:after="100" w:line="264"/>
      </w:pPr>
      <w:r>
        <w:rPr>
          <w:sz w:val="20"/>
          <w:szCs w:val="20"/>
        </w:rPr>
        <w:t xml:space="preserve">Не обладает.</w:t>
      </w:r>
    </w:p>
    <w:p>
      <w:pPr>
        <w:spacing w:after="60" w:line="264"/>
      </w:pPr>
      <w:r>
        <w:rPr>
          <w:b/>
          <w:bCs/>
          <w:sz w:val="20"/>
          <w:szCs w:val="20"/>
        </w:rPr>
        <w:t xml:space="preserve">Сенсибилизирующее действие</w:t>
      </w:r>
    </w:p>
    <w:p>
      <w:pPr>
        <w:spacing w:after="100" w:line="264"/>
      </w:pPr>
      <w:r>
        <w:rPr>
          <w:sz w:val="20"/>
          <w:szCs w:val="20"/>
        </w:rPr>
        <w:t xml:space="preserve">Не обладает.</w:t>
      </w:r>
    </w:p>
    <w:p>
      <w:pPr>
        <w:spacing w:after="200"/>
      </w:pPr>
    </w:p>
    <w:tbl>
      <w:tblPr>
        <w:tblW w:type="dxa" w:w="9906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906"/>
      </w:tblGrid>
      <w:tr>
        <w:tc>
          <w:tcPr>
            <w:tcW w:type="dxa" w:w="9906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pPr>
              <w:spacing w:after="0"/>
            </w:pPr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12: ЭКОЛОГИЧЕСКАЯ ИНФОРМАЦИЯ</w:t>
            </w:r>
          </w:p>
        </w:tc>
      </w:tr>
    </w:tbl>
    <w:p>
      <w:pPr>
        <w:spacing w:after="120"/>
      </w:pPr>
    </w:p>
    <w:p>
      <w:pPr>
        <w:spacing w:after="60" w:line="264"/>
      </w:pPr>
      <w:r>
        <w:rPr>
          <w:b/>
          <w:bCs/>
          <w:sz w:val="20"/>
          <w:szCs w:val="20"/>
        </w:rPr>
        <w:t xml:space="preserve">Акватоксичность</w:t>
      </w:r>
    </w:p>
    <w:p>
      <w:pPr>
        <w:spacing w:after="100" w:line="264"/>
      </w:pPr>
      <w:r>
        <w:rPr>
          <w:sz w:val="20"/>
          <w:szCs w:val="20"/>
        </w:rPr>
        <w:t xml:space="preserve">Отсутствует какая-либо соответствующая информация.</w:t>
      </w:r>
    </w:p>
    <w:p>
      <w:pPr>
        <w:spacing w:after="60" w:line="264"/>
      </w:pPr>
      <w:r>
        <w:rPr>
          <w:b/>
          <w:bCs/>
          <w:sz w:val="20"/>
          <w:szCs w:val="20"/>
        </w:rPr>
        <w:t xml:space="preserve">Стойкость и склонность к деградации</w:t>
      </w:r>
    </w:p>
    <w:p>
      <w:pPr>
        <w:spacing w:after="100" w:line="264"/>
      </w:pPr>
      <w:r>
        <w:rPr>
          <w:sz w:val="20"/>
          <w:szCs w:val="20"/>
        </w:rPr>
        <w:t xml:space="preserve">Отсутствует какая-либо соответствующая информация.</w:t>
      </w:r>
    </w:p>
    <w:p>
      <w:pPr>
        <w:spacing w:after="60" w:line="264"/>
      </w:pPr>
      <w:r>
        <w:rPr>
          <w:b/>
          <w:bCs/>
          <w:sz w:val="20"/>
          <w:szCs w:val="20"/>
        </w:rPr>
        <w:t xml:space="preserve">Биоаккумулятивный потенциал</w:t>
      </w:r>
    </w:p>
    <w:p>
      <w:pPr>
        <w:spacing w:after="100" w:line="264"/>
      </w:pPr>
      <w:r>
        <w:rPr>
          <w:sz w:val="20"/>
          <w:szCs w:val="20"/>
        </w:rPr>
        <w:t xml:space="preserve">Отсутствует какая-либо соответствующая информация.</w:t>
      </w:r>
    </w:p>
    <w:p>
      <w:pPr>
        <w:spacing w:after="60" w:line="264"/>
      </w:pPr>
      <w:r>
        <w:rPr>
          <w:b/>
          <w:bCs/>
          <w:sz w:val="20"/>
          <w:szCs w:val="20"/>
        </w:rPr>
        <w:t xml:space="preserve">Подвижность в грунте</w:t>
      </w:r>
    </w:p>
    <w:p>
      <w:pPr>
        <w:spacing w:after="100" w:line="264"/>
      </w:pPr>
      <w:r>
        <w:rPr>
          <w:sz w:val="20"/>
          <w:szCs w:val="20"/>
        </w:rPr>
        <w:t xml:space="preserve">Отсутствует какая-либо соответствующая информация.</w:t>
      </w:r>
    </w:p>
    <w:p>
      <w:pPr>
        <w:spacing w:after="60" w:line="264"/>
      </w:pPr>
      <w:r>
        <w:rPr>
          <w:b/>
          <w:bCs/>
          <w:sz w:val="20"/>
          <w:szCs w:val="20"/>
        </w:rPr>
        <w:t xml:space="preserve">Класс вредности для воды (самоклассификация)</w:t>
      </w:r>
    </w:p>
    <w:p>
      <w:pPr>
        <w:spacing w:after="100" w:line="264"/>
      </w:pPr>
      <w:r>
        <w:rPr>
          <w:sz w:val="20"/>
          <w:szCs w:val="20"/>
        </w:rPr>
        <w:t xml:space="preserve">Класс 1 — немного вредно для воды. Не допускать попадания продукта в грунтовые воды, водоёмы или в канализационную систему в неразбавленном виде или в больших количествах.</w:t>
      </w:r>
    </w:p>
    <w:p>
      <w:pPr>
        <w:spacing w:after="200"/>
      </w:pPr>
    </w:p>
    <w:tbl>
      <w:tblPr>
        <w:tblW w:type="dxa" w:w="9906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906"/>
      </w:tblGrid>
      <w:tr>
        <w:tc>
          <w:tcPr>
            <w:tcW w:type="dxa" w:w="9906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pPr>
              <w:spacing w:after="0"/>
            </w:pPr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13: РЕКОМЕНДАЦИИ ПО УТИЛИЗАЦИИ</w:t>
            </w:r>
          </w:p>
        </w:tc>
      </w:tr>
    </w:tbl>
    <w:p>
      <w:pPr>
        <w:spacing w:after="120"/>
      </w:pPr>
    </w:p>
    <w:p>
      <w:pPr>
        <w:spacing w:after="100" w:line="264"/>
      </w:pPr>
      <w:r>
        <w:rPr>
          <w:sz w:val="20"/>
          <w:szCs w:val="20"/>
        </w:rPr>
        <w:t xml:space="preserve">Оставить в открытой упаковке и подождать полного отверждения продукта, затем утилизировать. Отходы подлежат утилизации в соответствии с порядком, установленным законодательством в области обращения с отходами. Избегать попадания в окружающую среду. Малые количества могут утилизироваться как бытовые отходы.</w:t>
      </w:r>
    </w:p>
    <w:p>
      <w:pPr>
        <w:spacing w:after="200"/>
      </w:pPr>
    </w:p>
    <w:tbl>
      <w:tblPr>
        <w:tblW w:type="dxa" w:w="9906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906"/>
      </w:tblGrid>
      <w:tr>
        <w:tc>
          <w:tcPr>
            <w:tcW w:type="dxa" w:w="9906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pPr>
              <w:spacing w:after="0"/>
            </w:pPr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14: ТРАНСПОРТНАЯ ИНФОРМАЦИЯ</w:t>
            </w:r>
          </w:p>
        </w:tc>
      </w:tr>
    </w:tbl>
    <w:p>
      <w:pPr>
        <w:spacing w:after="120"/>
      </w:pPr>
    </w:p>
    <w:tbl>
      <w:tblPr>
        <w:tblW w:type="dxa" w:w="9906"/>
        <w:tblBorders>
          <w:top w:val="single" w:color="8EA9DB" w:sz="4"/>
          <w:left w:val="single" w:color="8EA9DB" w:sz="4"/>
          <w:bottom w:val="single" w:color="8EA9DB" w:sz="4"/>
          <w:right w:val="single" w:color="8EA9DB" w:sz="4"/>
          <w:insideH w:val="single" w:color="8EA9DB" w:sz="4"/>
          <w:insideV w:val="single" w:color="8EA9DB" w:sz="4"/>
        </w:tblBorders>
      </w:tblPr>
      <w:tblGrid>
        <w:gridCol w:w="6500"/>
        <w:gridCol w:w="3526"/>
      </w:tblGrid>
      <w:tr>
        <w:trPr>
          <w:tblHeader/>
        </w:trPr>
        <w:tc>
          <w:tcPr>
            <w:tcW w:type="dxa" w:w="6500"/>
            <w:shd w:fill="D9E2F3" w:color="auto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64"/>
            </w:pPr>
            <w:r>
              <w:rPr>
                <w:b/>
                <w:bCs/>
                <w:sz w:val="18"/>
                <w:szCs w:val="18"/>
              </w:rPr>
              <w:t xml:space="preserve">Показатель</w:t>
            </w:r>
          </w:p>
        </w:tc>
        <w:tc>
          <w:tcPr>
            <w:tcW w:type="dxa" w:w="3526"/>
            <w:shd w:fill="D9E2F3" w:color="auto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pPr>
              <w:spacing w:after="0" w:line="264"/>
            </w:pPr>
            <w:r>
              <w:rPr>
                <w:b/>
                <w:bCs/>
                <w:sz w:val="18"/>
                <w:szCs w:val="18"/>
              </w:rPr>
              <w:t xml:space="preserve">Значение</w:t>
            </w:r>
          </w:p>
        </w:tc>
      </w:tr>
      <w:tr>
        <w:tc>
          <w:tcPr>
            <w:tcW w:type="dxa" w:w="6500"/>
            <w:tcMar>
              <w:top w:type="dxa" w:w="60"/>
              <w:left w:type="dxa" w:w="100"/>
              <w:bottom w:type="dxa" w:w="60"/>
              <w:right w:type="dxa" w:w="100"/>
            </w:tcMar>
            <w:vAlign w:val="top"/>
          </w:tcPr>
          <w:p>
            <w:pPr>
              <w:spacing w:after="0" w:line="264"/>
            </w:pPr>
            <w:r>
              <w:rPr>
                <w:sz w:val="18"/>
                <w:szCs w:val="18"/>
              </w:rPr>
              <w:t xml:space="preserve">Номер UN (ADR, ADN, IMDG, IATA)</w:t>
            </w:r>
          </w:p>
        </w:tc>
        <w:tc>
          <w:tcPr>
            <w:tcW w:type="dxa" w:w="3526"/>
            <w:tcMar>
              <w:top w:type="dxa" w:w="60"/>
              <w:left w:type="dxa" w:w="100"/>
              <w:bottom w:type="dxa" w:w="60"/>
              <w:right w:type="dxa" w:w="100"/>
            </w:tcMar>
            <w:vAlign w:val="top"/>
          </w:tcPr>
          <w:p>
            <w:pPr>
              <w:spacing w:after="0" w:line="264"/>
            </w:pPr>
            <w:r>
              <w:rPr>
                <w:sz w:val="18"/>
                <w:szCs w:val="18"/>
              </w:rPr>
              <w:t xml:space="preserve">Не применимо</w:t>
            </w:r>
          </w:p>
        </w:tc>
      </w:tr>
      <w:tr>
        <w:tc>
          <w:tcPr>
            <w:tcW w:type="dxa" w:w="6500"/>
            <w:tcMar>
              <w:top w:type="dxa" w:w="60"/>
              <w:left w:type="dxa" w:w="100"/>
              <w:bottom w:type="dxa" w:w="60"/>
              <w:right w:type="dxa" w:w="100"/>
            </w:tcMar>
            <w:vAlign w:val="top"/>
          </w:tcPr>
          <w:p>
            <w:pPr>
              <w:spacing w:after="0" w:line="264"/>
            </w:pPr>
            <w:r>
              <w:rPr>
                <w:sz w:val="18"/>
                <w:szCs w:val="18"/>
              </w:rPr>
              <w:t xml:space="preserve">Собственное транспортное наименование ООН</w:t>
            </w:r>
          </w:p>
        </w:tc>
        <w:tc>
          <w:tcPr>
            <w:tcW w:type="dxa" w:w="3526"/>
            <w:tcMar>
              <w:top w:type="dxa" w:w="60"/>
              <w:left w:type="dxa" w:w="100"/>
              <w:bottom w:type="dxa" w:w="60"/>
              <w:right w:type="dxa" w:w="100"/>
            </w:tcMar>
            <w:vAlign w:val="top"/>
          </w:tcPr>
          <w:p>
            <w:pPr>
              <w:spacing w:after="0" w:line="264"/>
            </w:pPr>
            <w:r>
              <w:rPr>
                <w:sz w:val="18"/>
                <w:szCs w:val="18"/>
              </w:rPr>
              <w:t xml:space="preserve">Не применимо</w:t>
            </w:r>
          </w:p>
        </w:tc>
      </w:tr>
      <w:tr>
        <w:tc>
          <w:tcPr>
            <w:tcW w:type="dxa" w:w="6500"/>
            <w:tcMar>
              <w:top w:type="dxa" w:w="60"/>
              <w:left w:type="dxa" w:w="100"/>
              <w:bottom w:type="dxa" w:w="60"/>
              <w:right w:type="dxa" w:w="100"/>
            </w:tcMar>
            <w:vAlign w:val="top"/>
          </w:tcPr>
          <w:p>
            <w:pPr>
              <w:spacing w:after="0" w:line="264"/>
            </w:pPr>
            <w:r>
              <w:rPr>
                <w:sz w:val="18"/>
                <w:szCs w:val="18"/>
              </w:rPr>
              <w:t xml:space="preserve">Классы опасности транспорта</w:t>
            </w:r>
          </w:p>
        </w:tc>
        <w:tc>
          <w:tcPr>
            <w:tcW w:type="dxa" w:w="3526"/>
            <w:tcMar>
              <w:top w:type="dxa" w:w="60"/>
              <w:left w:type="dxa" w:w="100"/>
              <w:bottom w:type="dxa" w:w="60"/>
              <w:right w:type="dxa" w:w="100"/>
            </w:tcMar>
            <w:vAlign w:val="top"/>
          </w:tcPr>
          <w:p>
            <w:pPr>
              <w:spacing w:after="0" w:line="264"/>
            </w:pPr>
            <w:r>
              <w:rPr>
                <w:sz w:val="18"/>
                <w:szCs w:val="18"/>
              </w:rPr>
              <w:t xml:space="preserve">Не применимо</w:t>
            </w:r>
          </w:p>
        </w:tc>
      </w:tr>
      <w:tr>
        <w:tc>
          <w:tcPr>
            <w:tcW w:type="dxa" w:w="6500"/>
            <w:tcMar>
              <w:top w:type="dxa" w:w="60"/>
              <w:left w:type="dxa" w:w="100"/>
              <w:bottom w:type="dxa" w:w="60"/>
              <w:right w:type="dxa" w:w="100"/>
            </w:tcMar>
            <w:vAlign w:val="top"/>
          </w:tcPr>
          <w:p>
            <w:pPr>
              <w:spacing w:after="0" w:line="264"/>
            </w:pPr>
            <w:r>
              <w:rPr>
                <w:sz w:val="18"/>
                <w:szCs w:val="18"/>
              </w:rPr>
              <w:t xml:space="preserve">Группа упаковки (ADR, IMDG, IATA)</w:t>
            </w:r>
          </w:p>
        </w:tc>
        <w:tc>
          <w:tcPr>
            <w:tcW w:type="dxa" w:w="3526"/>
            <w:tcMar>
              <w:top w:type="dxa" w:w="60"/>
              <w:left w:type="dxa" w:w="100"/>
              <w:bottom w:type="dxa" w:w="60"/>
              <w:right w:type="dxa" w:w="100"/>
            </w:tcMar>
            <w:vAlign w:val="top"/>
          </w:tcPr>
          <w:p>
            <w:pPr>
              <w:spacing w:after="0" w:line="264"/>
            </w:pPr>
            <w:r>
              <w:rPr>
                <w:sz w:val="18"/>
                <w:szCs w:val="18"/>
              </w:rPr>
              <w:t xml:space="preserve">Не применимо</w:t>
            </w:r>
          </w:p>
        </w:tc>
      </w:tr>
      <w:tr>
        <w:tc>
          <w:tcPr>
            <w:tcW w:type="dxa" w:w="6500"/>
            <w:tcMar>
              <w:top w:type="dxa" w:w="60"/>
              <w:left w:type="dxa" w:w="100"/>
              <w:bottom w:type="dxa" w:w="60"/>
              <w:right w:type="dxa" w:w="100"/>
            </w:tcMar>
            <w:vAlign w:val="top"/>
          </w:tcPr>
          <w:p>
            <w:pPr>
              <w:spacing w:after="0" w:line="264"/>
            </w:pPr>
            <w:r>
              <w:rPr>
                <w:sz w:val="18"/>
                <w:szCs w:val="18"/>
              </w:rPr>
              <w:t xml:space="preserve">Экологические риски (загрязнитель морской среды)</w:t>
            </w:r>
          </w:p>
        </w:tc>
        <w:tc>
          <w:tcPr>
            <w:tcW w:type="dxa" w:w="3526"/>
            <w:tcMar>
              <w:top w:type="dxa" w:w="60"/>
              <w:left w:type="dxa" w:w="100"/>
              <w:bottom w:type="dxa" w:w="60"/>
              <w:right w:type="dxa" w:w="100"/>
            </w:tcMar>
            <w:vAlign w:val="top"/>
          </w:tcPr>
          <w:p>
            <w:pPr>
              <w:spacing w:after="0" w:line="264"/>
            </w:pPr>
            <w:r>
              <w:rPr>
                <w:sz w:val="18"/>
                <w:szCs w:val="18"/>
              </w:rPr>
              <w:t xml:space="preserve">Отрицательно</w:t>
            </w:r>
          </w:p>
        </w:tc>
      </w:tr>
      <w:tr>
        <w:tc>
          <w:tcPr>
            <w:tcW w:type="dxa" w:w="6500"/>
            <w:tcMar>
              <w:top w:type="dxa" w:w="60"/>
              <w:left w:type="dxa" w:w="100"/>
              <w:bottom w:type="dxa" w:w="60"/>
              <w:right w:type="dxa" w:w="100"/>
            </w:tcMar>
            <w:vAlign w:val="top"/>
          </w:tcPr>
          <w:p>
            <w:pPr>
              <w:spacing w:after="0" w:line="264"/>
            </w:pPr>
            <w:r>
              <w:rPr>
                <w:sz w:val="18"/>
                <w:szCs w:val="18"/>
              </w:rPr>
              <w:t xml:space="preserve">Особые меры предосторожности</w:t>
            </w:r>
          </w:p>
        </w:tc>
        <w:tc>
          <w:tcPr>
            <w:tcW w:type="dxa" w:w="3526"/>
            <w:tcMar>
              <w:top w:type="dxa" w:w="60"/>
              <w:left w:type="dxa" w:w="100"/>
              <w:bottom w:type="dxa" w:w="60"/>
              <w:right w:type="dxa" w:w="100"/>
            </w:tcMar>
            <w:vAlign w:val="top"/>
          </w:tcPr>
          <w:p>
            <w:pPr>
              <w:spacing w:after="0" w:line="264"/>
            </w:pPr>
            <w:r>
              <w:rPr>
                <w:sz w:val="18"/>
                <w:szCs w:val="18"/>
              </w:rPr>
              <w:t xml:space="preserve">Отрицательно</w:t>
            </w:r>
          </w:p>
        </w:tc>
      </w:tr>
      <w:tr>
        <w:tc>
          <w:tcPr>
            <w:tcW w:type="dxa" w:w="6500"/>
            <w:tcMar>
              <w:top w:type="dxa" w:w="60"/>
              <w:left w:type="dxa" w:w="100"/>
              <w:bottom w:type="dxa" w:w="60"/>
              <w:right w:type="dxa" w:w="100"/>
            </w:tcMar>
            <w:vAlign w:val="top"/>
          </w:tcPr>
          <w:p>
            <w:pPr>
              <w:spacing w:after="0" w:line="264"/>
            </w:pPr>
            <w:r>
              <w:rPr>
                <w:sz w:val="18"/>
                <w:szCs w:val="18"/>
              </w:rPr>
              <w:t xml:space="preserve">Транспортировка навалом (Приложение II MARPOL 73/78, IBC Code)</w:t>
            </w:r>
          </w:p>
        </w:tc>
        <w:tc>
          <w:tcPr>
            <w:tcW w:type="dxa" w:w="3526"/>
            <w:tcMar>
              <w:top w:type="dxa" w:w="60"/>
              <w:left w:type="dxa" w:w="100"/>
              <w:bottom w:type="dxa" w:w="60"/>
              <w:right w:type="dxa" w:w="100"/>
            </w:tcMar>
            <w:vAlign w:val="top"/>
          </w:tcPr>
          <w:p>
            <w:pPr>
              <w:spacing w:after="0" w:line="264"/>
            </w:pPr>
            <w:r>
              <w:rPr>
                <w:sz w:val="18"/>
                <w:szCs w:val="18"/>
              </w:rPr>
              <w:t xml:space="preserve">Не применимо</w:t>
            </w:r>
          </w:p>
        </w:tc>
      </w:tr>
    </w:tbl>
    <w:p>
      <w:pPr>
        <w:spacing w:after="200"/>
      </w:pPr>
    </w:p>
    <w:tbl>
      <w:tblPr>
        <w:tblW w:type="dxa" w:w="9906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906"/>
      </w:tblGrid>
      <w:tr>
        <w:tc>
          <w:tcPr>
            <w:tcW w:type="dxa" w:w="9906"/>
            <w:shd w:fill="1F3864" w:color="auto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pPr>
              <w:spacing w:after="0"/>
            </w:pPr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15: НОРМАТИВНАЯ ИНФОРМАЦИЯ</w:t>
            </w:r>
          </w:p>
        </w:tc>
      </w:tr>
    </w:tbl>
    <w:p>
      <w:pPr>
        <w:spacing w:after="120"/>
      </w:pPr>
    </w:p>
    <w:p>
      <w:pPr>
        <w:spacing w:after="100" w:line="264"/>
      </w:pPr>
      <w:r>
        <w:rPr>
          <w:sz w:val="20"/>
          <w:szCs w:val="20"/>
        </w:rPr>
        <w:t xml:space="preserve">На основании «Всеобщей классификационной директивы ЕС для смесей» в её последней (актуальной) редакции продукт не подлежит обязательной маркировке. При обращении с химикатами соблюдать стандартные меры предосторожности.</w:t>
      </w:r>
    </w:p>
    <w:p>
      <w:pPr>
        <w:spacing w:after="200"/>
      </w:pPr>
    </w:p>
    <w:sectPr>
      <w:pgSz w:w="11906" w:h="16838" w:orient="portrait"/>
      <w:pgMar w:top="1000" w:right="1000" w:bottom="1000" w:left="1000" w:header="708" w:footer="708" w:gutter="0"/>
      <w:pgBorders w:display="allPages" w:offsetFrom="page">
        <w:top w:val="single" w:color="8EA9DB" w:sz="8" w:space="24"/>
        <w:left w:val="single" w:color="8EA9DB" w:sz="8" w:space="24"/>
        <w:bottom w:val="single" w:color="8EA9DB" w:sz="8" w:space="24"/>
        <w:right w:val="single" w:color="8EA9DB" w:sz="8" w:space="24"/>
      </w:pgBorders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0"/>
        <w:szCs w:val="20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2026-08-02T02:17:37.750Z</dcterms:created>
  <dcterms:modified xsi:type="dcterms:W3CDTF">2026-08-02T02:17:37.751Z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