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sz w:val="34"/>
          <w:szCs w:val="34"/>
        </w:rPr>
        <w:t xml:space="preserve">Паспорт безопасности</w:t>
      </w:r>
    </w:p>
    <w:p>
      <w:pPr>
        <w:spacing w:after="160"/>
        <w:jc w:val="center"/>
      </w:pPr>
      <w:r>
        <w:rPr>
          <w:i/>
          <w:iCs/>
          <w:sz w:val="20"/>
          <w:szCs w:val="20"/>
        </w:rPr>
        <w:t xml:space="preserve">согласно 1907/2006/EC, Статья 31</w:t>
      </w:r>
    </w:p>
    <w:p>
      <w:pPr>
        <w:pBdr>
          <w:bottom w:val="single" w:color="1F3864" w:sz="8" w:space="4"/>
        </w:pBdr>
        <w:spacing w:after="300"/>
        <w:jc w:val="center"/>
      </w:pPr>
      <w:r>
        <w:rPr>
          <w:b/>
          <w:bCs/>
          <w:sz w:val="26"/>
          <w:szCs w:val="26"/>
        </w:rPr>
        <w:t xml:space="preserve">SIPP PRIMER PU SPM</w:t>
      </w: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120"/>
      </w:pPr>
    </w:p>
    <w:p>
      <w:pPr>
        <w:spacing w:after="60" w:line="264"/>
      </w:pPr>
      <w:r>
        <w:rPr>
          <w:b/>
          <w:bCs/>
          <w:sz w:val="20"/>
          <w:szCs w:val="20"/>
        </w:rPr>
        <w:t xml:space="preserve">Наименование продукта</w:t>
      </w:r>
    </w:p>
    <w:p>
      <w:pPr>
        <w:spacing w:after="100" w:line="264"/>
      </w:pPr>
      <w:r>
        <w:rPr>
          <w:sz w:val="20"/>
          <w:szCs w:val="20"/>
        </w:rPr>
        <w:t xml:space="preserve">SIPP PRIMER PU SPM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Производитель</w:t>
      </w:r>
    </w:p>
    <w:p>
      <w:pPr>
        <w:spacing w:after="100" w:line="264"/>
      </w:pPr>
      <w:r>
        <w:rPr>
          <w:sz w:val="20"/>
          <w:szCs w:val="20"/>
        </w:rPr>
        <w:t xml:space="preserve">«СИПП-ПРОМ», 197348 Россия, Санкт-Петербург, Коломяжский проспект, дом 10, литер 10, помещение 1Н, 3Н, офис 307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Телефон</w:t>
      </w:r>
    </w:p>
    <w:p>
      <w:pPr>
        <w:spacing w:after="100" w:line="264"/>
      </w:pPr>
      <w:r>
        <w:rPr>
          <w:sz w:val="20"/>
          <w:szCs w:val="20"/>
        </w:rPr>
        <w:t xml:space="preserve">+7 (812) 329-07-15</w:t>
      </w:r>
    </w:p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2: ИДЕНТИФИКАЦИЯ ОПАСНОСТИ</w:t>
            </w:r>
          </w:p>
        </w:tc>
      </w:tr>
    </w:tbl>
    <w:p>
      <w:pPr>
        <w:spacing w:after="120"/>
      </w:pPr>
    </w:p>
    <w:p>
      <w:pPr>
        <w:spacing w:after="60" w:line="264"/>
      </w:pPr>
      <w:r>
        <w:rPr>
          <w:b/>
          <w:bCs/>
          <w:sz w:val="20"/>
          <w:szCs w:val="20"/>
        </w:rPr>
        <w:t xml:space="preserve">2.1 Классификация смеси</w:t>
      </w:r>
    </w:p>
    <w:p>
      <w:pPr>
        <w:spacing w:after="100" w:line="264"/>
      </w:pPr>
      <w:r>
        <w:rPr>
          <w:sz w:val="20"/>
          <w:szCs w:val="20"/>
        </w:rPr>
        <w:t xml:space="preserve">В соответствии с Директивой 67/548/EGS (DSD). Классификация: 3 R40, Xn R20 R42/43 R48/20, Xi R36/37/38.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2.2 Элементы маркировки</w:t>
      </w:r>
    </w:p>
    <w:p>
      <w:pPr>
        <w:spacing w:after="100" w:line="264"/>
      </w:pPr>
      <w:r>
        <w:rPr>
          <w:sz w:val="20"/>
          <w:szCs w:val="20"/>
        </w:rPr>
        <w:t xml:space="preserve">Xn — вреден для здоровья.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Маркировка</w:t>
      </w:r>
    </w:p>
    <w:p>
      <w:pPr>
        <w:spacing w:after="100" w:line="264"/>
      </w:pPr>
      <w:r>
        <w:rPr>
          <w:sz w:val="20"/>
          <w:szCs w:val="20"/>
        </w:rPr>
        <w:t xml:space="preserve">У лиц с аллергической реакцией на диизоцианаты могут развиваться аллергические реакции при использовании данного продукта. Лица, страдающие от астмы, экземы или кожных заболеваний, должны избегать контакта с данным продуктом, включая кожные контакты. Данный продукт не подлежит применению в условиях плохой вентиляции без использования защитной маски с соответствующим газовым фильтром (т.е. типа A1 в соответствии со стандартом EN 14387).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Дополнительный текст на этикетке</w:t>
      </w:r>
    </w:p>
    <w:p>
      <w:pPr>
        <w:spacing w:after="100" w:line="264"/>
      </w:pPr>
      <w:r>
        <w:rPr>
          <w:sz w:val="20"/>
          <w:szCs w:val="20"/>
        </w:rPr>
        <w:t xml:space="preserve">R20 — опасно при вдыхании. R36/37/38 — раздражает глаза, дыхательную систему и кожу. R40 — возможная угроза канцерогенного эффекта. R42/43 — может вызывать аллергические реакции при вдыхании и контакте с кожей. R48/20 — токсичный: опасность серьёзного ущерба здоровью при продолжительном воздействии.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Классификация (S-фразы)</w:t>
      </w:r>
    </w:p>
    <w:p>
      <w:pPr>
        <w:spacing w:after="100" w:line="264"/>
      </w:pPr>
      <w:r>
        <w:rPr>
          <w:sz w:val="20"/>
          <w:szCs w:val="20"/>
        </w:rPr>
        <w:t xml:space="preserve">S1/2 — хранить закрытым и вдали от детей. S23 — не вдыхать газ/дым/пар/аэрозоль. S36/37 — надевать соответствующую защитную одежду и перчатки. S45 — при несчастном случае или если вы почувствовали недомогание, немедленно обратитесь к врачу (при возможности, показать ему этикетку продукта).</w:t>
      </w:r>
    </w:p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3: СОСТАВ / ИНФОРМАЦИЯ ОБ ОПАСНЫХ КОМПОНЕНТАХ</w:t>
            </w:r>
          </w:p>
        </w:tc>
      </w:tr>
    </w:tbl>
    <w:p>
      <w:pPr>
        <w:spacing w:after="120"/>
      </w:pPr>
    </w:p>
    <w:tbl>
      <w:tblPr>
        <w:tblW w:type="dxa" w:w="990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800"/>
        <w:gridCol w:w="1600"/>
        <w:gridCol w:w="3626"/>
      </w:tblGrid>
      <w:tr>
        <w:trPr>
          <w:tblHeader/>
        </w:trPr>
        <w:tc>
          <w:tcPr>
            <w:tcW w:type="dxa" w:w="3800"/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64"/>
            </w:pPr>
            <w:r>
              <w:rPr>
                <w:b/>
                <w:bCs/>
                <w:sz w:val="18"/>
                <w:szCs w:val="18"/>
              </w:rPr>
              <w:t xml:space="preserve">Вещество</w:t>
            </w:r>
          </w:p>
        </w:tc>
        <w:tc>
          <w:tcPr>
            <w:tcW w:type="dxa" w:w="1600"/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64"/>
            </w:pPr>
            <w:r>
              <w:rPr>
                <w:b/>
                <w:bCs/>
                <w:sz w:val="18"/>
                <w:szCs w:val="18"/>
              </w:rPr>
              <w:t xml:space="preserve">Концентрация, %</w:t>
            </w:r>
          </w:p>
        </w:tc>
        <w:tc>
          <w:tcPr>
            <w:tcW w:type="dxa" w:w="3626"/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64"/>
            </w:pPr>
            <w:r>
              <w:rPr>
                <w:b/>
                <w:bCs/>
                <w:sz w:val="18"/>
                <w:szCs w:val="18"/>
              </w:rPr>
              <w:t xml:space="preserve">Классификация (67/548/EGS)</w:t>
            </w:r>
          </w:p>
        </w:tc>
      </w:tr>
      <w:tr>
        <w:tc>
          <w:tcPr>
            <w:tcW w:type="dxa" w:w="38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Ароматический преполимер полиизоцианата</w:t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20–40</w:t>
            </w:r>
          </w:p>
        </w:tc>
        <w:tc>
          <w:tcPr>
            <w:tcW w:type="dxa" w:w="36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Xn R20 R42/43</w:t>
            </w:r>
          </w:p>
        </w:tc>
      </w:tr>
      <w:tr>
        <w:tc>
          <w:tcPr>
            <w:tcW w:type="dxa" w:w="38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Дифенилметандиизоцианат, изомеры и гомологи</w:t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10–20</w:t>
            </w:r>
          </w:p>
        </w:tc>
        <w:tc>
          <w:tcPr>
            <w:tcW w:type="dxa" w:w="36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Canc. Cat.3 R40; Xn R20 R42/43 R48/20; Xi R36/37/38</w:t>
            </w:r>
          </w:p>
        </w:tc>
      </w:tr>
      <w:tr>
        <w:tc>
          <w:tcPr>
            <w:tcW w:type="dxa" w:w="38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Дибутилфталат</w:t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5–7</w:t>
            </w:r>
          </w:p>
        </w:tc>
        <w:tc>
          <w:tcPr>
            <w:tcW w:type="dxa" w:w="36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Canc. Cat.3 R40; Xn R20 R42/43 R48/20; Xi R36/37/38</w:t>
            </w:r>
          </w:p>
        </w:tc>
      </w:tr>
    </w:tbl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4: МЕРЫ ПЕРВОЙ ПОМОЩИ</w:t>
            </w:r>
          </w:p>
        </w:tc>
      </w:tr>
    </w:tbl>
    <w:p>
      <w:pPr>
        <w:spacing w:after="120"/>
      </w:pPr>
    </w:p>
    <w:p>
      <w:pPr>
        <w:spacing w:after="60" w:line="264"/>
      </w:pPr>
      <w:r>
        <w:rPr>
          <w:b/>
          <w:bCs/>
          <w:sz w:val="20"/>
          <w:szCs w:val="20"/>
        </w:rPr>
        <w:t xml:space="preserve">Общая информация</w:t>
      </w:r>
    </w:p>
    <w:p>
      <w:pPr>
        <w:spacing w:after="100" w:line="264"/>
      </w:pPr>
      <w:r>
        <w:rPr>
          <w:sz w:val="20"/>
          <w:szCs w:val="20"/>
        </w:rPr>
        <w:t xml:space="preserve">Во всех сомнительных случаях, а также при появлении первых симптомов следует немедленно обратиться к врачу.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При вдыхании</w:t>
      </w:r>
    </w:p>
    <w:p>
      <w:pPr>
        <w:spacing w:after="100" w:line="264"/>
      </w:pPr>
      <w:r>
        <w:rPr>
          <w:sz w:val="20"/>
          <w:szCs w:val="20"/>
        </w:rPr>
        <w:t xml:space="preserve">Удалить пострадавшего из зоны воздействия, держать в тепле и покое. Обеспечить медицинскую помощь. При затруднённом дыхании обеспечить подачу кислорода квалифицированным персоналом. Применить искусственное дыхание при исчезновении или недостаточности дыхания.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При попадании внутрь</w:t>
      </w:r>
    </w:p>
    <w:p>
      <w:pPr>
        <w:spacing w:after="100" w:line="264"/>
      </w:pPr>
      <w:r>
        <w:rPr>
          <w:sz w:val="20"/>
          <w:szCs w:val="20"/>
        </w:rPr>
        <w:t xml:space="preserve">Не вызывать рвоту при отсутствии специального указания врача. Никогда ничего не давать в рот человеку, потерявшему сознание. При нахождении пострадавшего в сознании — промыть рот водой. Обратиться за медицинской помощью при появлении симптомов.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При попадании в глаза</w:t>
      </w:r>
    </w:p>
    <w:p>
      <w:pPr>
        <w:spacing w:after="100" w:line="264"/>
      </w:pPr>
      <w:r>
        <w:rPr>
          <w:sz w:val="20"/>
          <w:szCs w:val="20"/>
        </w:rPr>
        <w:t xml:space="preserve">Промыть большим количеством воды.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При контакте с кожей</w:t>
      </w:r>
    </w:p>
    <w:p>
      <w:pPr>
        <w:spacing w:after="100" w:line="264"/>
      </w:pPr>
      <w:r>
        <w:rPr>
          <w:sz w:val="20"/>
          <w:szCs w:val="20"/>
        </w:rPr>
        <w:t xml:space="preserve">Промыть большим количеством воды. Удалить загрязнённую одежду.</w:t>
      </w:r>
    </w:p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5: МЕРЫ ПОЖАРОТУШЕНИЯ</w:t>
            </w:r>
          </w:p>
        </w:tc>
      </w:tr>
    </w:tbl>
    <w:p>
      <w:pPr>
        <w:spacing w:after="120"/>
      </w:pPr>
    </w:p>
    <w:p>
      <w:pPr>
        <w:spacing w:after="60" w:line="264"/>
      </w:pPr>
      <w:r>
        <w:rPr>
          <w:b/>
          <w:bCs/>
          <w:sz w:val="20"/>
          <w:szCs w:val="20"/>
        </w:rPr>
        <w:t xml:space="preserve">Общие сведения</w:t>
      </w:r>
    </w:p>
    <w:p>
      <w:pPr>
        <w:spacing w:after="100" w:line="264"/>
      </w:pPr>
      <w:r>
        <w:rPr>
          <w:sz w:val="20"/>
          <w:szCs w:val="20"/>
        </w:rPr>
        <w:t xml:space="preserve">Продукт негорючий, но способен гореть при попадании в огонь. При попадании в огонь способен выделять токсичные пары: продуктами сгорания являются оксиды углерода, углеводороды, оксиды азота.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Средства пожаротушения</w:t>
      </w:r>
    </w:p>
    <w:p>
      <w:pPr>
        <w:spacing w:after="100" w:line="264"/>
      </w:pPr>
      <w:r>
        <w:rPr>
          <w:sz w:val="20"/>
          <w:szCs w:val="20"/>
        </w:rPr>
        <w:t xml:space="preserve">Тонкораспылённая вода, пена химическая или воздушно-механическая, газообразный диоксид углерода, песок, кошма.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Средства индивидуальной защиты</w:t>
      </w:r>
    </w:p>
    <w:p>
      <w:pPr>
        <w:spacing w:after="100" w:line="264"/>
      </w:pPr>
      <w:r>
        <w:rPr>
          <w:sz w:val="20"/>
          <w:szCs w:val="20"/>
        </w:rPr>
        <w:t xml:space="preserve">Противогаз марки А.</w:t>
      </w:r>
    </w:p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120"/>
      </w:pPr>
    </w:p>
    <w:p>
      <w:pPr>
        <w:spacing w:after="60" w:line="264"/>
      </w:pPr>
      <w:r>
        <w:rPr>
          <w:b/>
          <w:bCs/>
          <w:sz w:val="20"/>
          <w:szCs w:val="20"/>
        </w:rPr>
        <w:t xml:space="preserve">Защита персонала</w:t>
      </w:r>
    </w:p>
    <w:p>
      <w:pPr>
        <w:spacing w:after="100" w:line="264"/>
      </w:pPr>
      <w:r>
        <w:rPr>
          <w:sz w:val="20"/>
          <w:szCs w:val="20"/>
        </w:rPr>
        <w:t xml:space="preserve">Защитить органы дыхания от вдыхания паров. Удалить все источники воспламенения (открытый огонь, сигареты, искрящие инструменты и т.п.). Хорошо проветрить помещение.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Защита окружающей среды</w:t>
      </w:r>
    </w:p>
    <w:p>
      <w:pPr>
        <w:spacing w:after="100" w:line="264"/>
      </w:pPr>
      <w:r>
        <w:rPr>
          <w:sz w:val="20"/>
          <w:szCs w:val="20"/>
        </w:rPr>
        <w:t xml:space="preserve">Не допускать попадания в воду, водоёмы, подвалы, стоки, в канализацию. Предотвращать скопление паров в замкнутом пространстве.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Уборка продукта</w:t>
      </w:r>
    </w:p>
    <w:p>
      <w:pPr>
        <w:spacing w:after="100" w:line="264"/>
      </w:pPr>
      <w:r>
        <w:rPr>
          <w:sz w:val="20"/>
          <w:szCs w:val="20"/>
        </w:rPr>
        <w:t xml:space="preserve">Пролитый продукт засыпать песком, землёй или другим негорючим материалом. Образовавшуюся массу собрать в специально предназначенную тару (металлический ящик или бочку) и вывезти в специально отведённое место для сжигания или захоронения.</w:t>
      </w:r>
    </w:p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7: ОБРАЩЕНИЕ И ХРАНЕНИЕ</w:t>
            </w:r>
          </w:p>
        </w:tc>
      </w:tr>
    </w:tbl>
    <w:p>
      <w:pPr>
        <w:spacing w:after="120"/>
      </w:pPr>
    </w:p>
    <w:p>
      <w:pPr>
        <w:spacing w:after="100" w:line="264"/>
      </w:pPr>
      <w:r>
        <w:rPr>
          <w:sz w:val="20"/>
          <w:szCs w:val="20"/>
        </w:rPr>
        <w:t xml:space="preserve">Установить общую вентиляцию и при необходимости местные отсосы. При работе с продуктом нельзя принимать пищу, курить. Средства индивидуальной защиты указаны в разделе 8. Использовать только пожаровзрывобезопасное оборудование. Продукт хранить вдали от источников тепла и воспламенения (возгорания) в закрытых хорошо проветриваемых помещениях. Курение запрещено. Упаковка должна быть герметичной. Условия хранения должны соответствовать государственным нормам.</w:t>
      </w:r>
    </w:p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120"/>
      </w:pPr>
    </w:p>
    <w:p>
      <w:pPr>
        <w:spacing w:after="60" w:line="264"/>
      </w:pPr>
      <w:r>
        <w:rPr>
          <w:b/>
          <w:bCs/>
          <w:sz w:val="20"/>
          <w:szCs w:val="20"/>
        </w:rPr>
        <w:t xml:space="preserve">Индивидуальная защита</w:t>
      </w:r>
    </w:p>
    <w:p>
      <w:pPr>
        <w:spacing w:after="100" w:line="264"/>
      </w:pPr>
      <w:r>
        <w:rPr>
          <w:sz w:val="20"/>
          <w:szCs w:val="20"/>
        </w:rPr>
        <w:t xml:space="preserve">Средства индивидуальной защиты должны соответствовать технологии нанесения продукта. Применять материалы, стойкие к органическим растворителям. Пользоваться инструментами, изготовленными из материала, не дающего искру.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Защита органов дыхания</w:t>
      </w:r>
    </w:p>
    <w:p>
      <w:pPr>
        <w:spacing w:after="100" w:line="264"/>
      </w:pPr>
      <w:r>
        <w:rPr>
          <w:sz w:val="20"/>
          <w:szCs w:val="20"/>
        </w:rPr>
        <w:t xml:space="preserve">Обеспечить на месте использования продукта такую вентиляцию, чтобы концентрация паров растворителей, присутствующих в летучей части продукта, не превышала предельного значения. Если этот норматив не может быть достигнут, необходимо использовать дополнительные меры предосторожности, в частности противогаз марки А.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Предельно допустимые среднесменные концентрации опасных компонентов в рабочей зоне (ГН 2.2.5.1313-03)</w:t>
      </w:r>
    </w:p>
    <w:tbl>
      <w:tblPr>
        <w:tblW w:type="dxa" w:w="990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5000"/>
        <w:gridCol w:w="2500"/>
        <w:gridCol w:w="2526"/>
      </w:tblGrid>
      <w:tr>
        <w:trPr>
          <w:tblHeader/>
        </w:trPr>
        <w:tc>
          <w:tcPr>
            <w:tcW w:type="dxa" w:w="5000"/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64"/>
            </w:pPr>
            <w:r>
              <w:rPr>
                <w:b/>
                <w:bCs/>
                <w:sz w:val="18"/>
                <w:szCs w:val="18"/>
              </w:rPr>
              <w:t xml:space="preserve">Химическое наименование</w:t>
            </w:r>
          </w:p>
        </w:tc>
        <w:tc>
          <w:tcPr>
            <w:tcW w:type="dxa" w:w="2500"/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64"/>
            </w:pPr>
            <w:r>
              <w:rPr>
                <w:b/>
                <w:bCs/>
                <w:sz w:val="18"/>
                <w:szCs w:val="18"/>
              </w:rPr>
              <w:t xml:space="preserve">CAS №</w:t>
            </w:r>
          </w:p>
        </w:tc>
        <w:tc>
          <w:tcPr>
            <w:tcW w:type="dxa" w:w="2526"/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64"/>
            </w:pPr>
            <w:r>
              <w:rPr>
                <w:b/>
                <w:bCs/>
                <w:sz w:val="18"/>
                <w:szCs w:val="18"/>
              </w:rPr>
              <w:t xml:space="preserve">Допустимое содержание, мг/м³</w:t>
            </w:r>
          </w:p>
        </w:tc>
      </w:tr>
      <w:tr>
        <w:tc>
          <w:tcPr>
            <w:tcW w:type="dxa" w:w="50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Дифенилметандиизоцианат, изомеры и гомологи</w:t>
            </w:r>
          </w:p>
        </w:tc>
        <w:tc>
          <w:tcPr>
            <w:tcW w:type="dxa" w:w="25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9016-87-9</w:t>
            </w:r>
          </w:p>
        </w:tc>
        <w:tc>
          <w:tcPr>
            <w:tcW w:type="dxa" w:w="25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0,5</w:t>
            </w:r>
          </w:p>
        </w:tc>
      </w:tr>
      <w:tr>
        <w:tc>
          <w:tcPr>
            <w:tcW w:type="dxa" w:w="50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Дибутилфталат</w:t>
            </w:r>
          </w:p>
        </w:tc>
        <w:tc>
          <w:tcPr>
            <w:tcW w:type="dxa" w:w="25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84-74-2</w:t>
            </w:r>
          </w:p>
        </w:tc>
        <w:tc>
          <w:tcPr>
            <w:tcW w:type="dxa" w:w="25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0,5</w:t>
            </w:r>
          </w:p>
        </w:tc>
      </w:tr>
    </w:tbl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120"/>
      </w:pPr>
    </w:p>
    <w:tbl>
      <w:tblPr>
        <w:tblW w:type="dxa" w:w="990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5500"/>
        <w:gridCol w:w="4026"/>
      </w:tblGrid>
      <w:tr>
        <w:trPr>
          <w:tblHeader/>
        </w:trPr>
        <w:tc>
          <w:tcPr>
            <w:tcW w:type="dxa" w:w="5500"/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64"/>
            </w:pPr>
            <w:r>
              <w:rPr>
                <w:b/>
                <w:bCs/>
                <w:sz w:val="18"/>
                <w:szCs w:val="18"/>
              </w:rPr>
              <w:t xml:space="preserve">Показатель</w:t>
            </w:r>
          </w:p>
        </w:tc>
        <w:tc>
          <w:tcPr>
            <w:tcW w:type="dxa" w:w="4026"/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64"/>
            </w:pPr>
            <w:r>
              <w:rPr>
                <w:b/>
                <w:bCs/>
                <w:sz w:val="18"/>
                <w:szCs w:val="18"/>
              </w:rPr>
              <w:t xml:space="preserve">Значение</w:t>
            </w:r>
          </w:p>
        </w:tc>
      </w:tr>
      <w:tr>
        <w:tc>
          <w:tcPr>
            <w:tcW w:type="dxa" w:w="55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Физическое состояние</w:t>
            </w:r>
          </w:p>
        </w:tc>
        <w:tc>
          <w:tcPr>
            <w:tcW w:type="dxa" w:w="40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Жидкость</w:t>
            </w:r>
          </w:p>
        </w:tc>
      </w:tr>
      <w:tr>
        <w:tc>
          <w:tcPr>
            <w:tcW w:type="dxa" w:w="55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Цвет</w:t>
            </w:r>
          </w:p>
        </w:tc>
        <w:tc>
          <w:tcPr>
            <w:tcW w:type="dxa" w:w="40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Тёмно-коричневый</w:t>
            </w:r>
          </w:p>
        </w:tc>
      </w:tr>
      <w:tr>
        <w:tc>
          <w:tcPr>
            <w:tcW w:type="dxa" w:w="55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Запах</w:t>
            </w:r>
          </w:p>
        </w:tc>
        <w:tc>
          <w:tcPr>
            <w:tcW w:type="dxa" w:w="40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Без запаха</w:t>
            </w:r>
          </w:p>
        </w:tc>
      </w:tr>
      <w:tr>
        <w:tc>
          <w:tcPr>
            <w:tcW w:type="dxa" w:w="55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Точка кипения</w:t>
            </w:r>
          </w:p>
        </w:tc>
        <w:tc>
          <w:tcPr>
            <w:tcW w:type="dxa" w:w="40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&gt; 310°C</w:t>
            </w:r>
          </w:p>
        </w:tc>
      </w:tr>
      <w:tr>
        <w:tc>
          <w:tcPr>
            <w:tcW w:type="dxa" w:w="55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Точка вспышки</w:t>
            </w:r>
          </w:p>
        </w:tc>
        <w:tc>
          <w:tcPr>
            <w:tcW w:type="dxa" w:w="40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&gt; 250°C (открытого типа)</w:t>
            </w:r>
          </w:p>
        </w:tc>
      </w:tr>
      <w:tr>
        <w:tc>
          <w:tcPr>
            <w:tcW w:type="dxa" w:w="55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Температура воспламенения</w:t>
            </w:r>
          </w:p>
        </w:tc>
        <w:tc>
          <w:tcPr>
            <w:tcW w:type="dxa" w:w="40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&gt; 600°C</w:t>
            </w:r>
          </w:p>
        </w:tc>
      </w:tr>
      <w:tr>
        <w:tc>
          <w:tcPr>
            <w:tcW w:type="dxa" w:w="55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Давление пара</w:t>
            </w:r>
          </w:p>
        </w:tc>
        <w:tc>
          <w:tcPr>
            <w:tcW w:type="dxa" w:w="40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&lt; 0,0001 гПа при 20°C</w:t>
            </w:r>
          </w:p>
        </w:tc>
      </w:tr>
      <w:tr>
        <w:tc>
          <w:tcPr>
            <w:tcW w:type="dxa" w:w="55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Растворимость в воде</w:t>
            </w:r>
          </w:p>
        </w:tc>
        <w:tc>
          <w:tcPr>
            <w:tcW w:type="dxa" w:w="40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Химическая, необратимая реакция с водой</w:t>
            </w:r>
          </w:p>
        </w:tc>
      </w:tr>
      <w:tr>
        <w:tc>
          <w:tcPr>
            <w:tcW w:type="dxa" w:w="55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Другая растворимость</w:t>
            </w:r>
          </w:p>
        </w:tc>
        <w:tc>
          <w:tcPr>
            <w:tcW w:type="dxa" w:w="40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Растворим в большинстве органических растворителей</w:t>
            </w:r>
          </w:p>
        </w:tc>
      </w:tr>
      <w:tr>
        <w:tc>
          <w:tcPr>
            <w:tcW w:type="dxa" w:w="55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Вязкость по Брукфильду (шпиндель №3, скорость 30)</w:t>
            </w:r>
          </w:p>
        </w:tc>
        <w:tc>
          <w:tcPr>
            <w:tcW w:type="dxa" w:w="40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Не более 800</w:t>
            </w:r>
          </w:p>
        </w:tc>
      </w:tr>
    </w:tbl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120"/>
      </w:pPr>
    </w:p>
    <w:p>
      <w:pPr>
        <w:spacing w:after="60" w:line="264"/>
      </w:pPr>
      <w:r>
        <w:rPr>
          <w:b/>
          <w:bCs/>
          <w:sz w:val="20"/>
          <w:szCs w:val="20"/>
        </w:rPr>
        <w:t xml:space="preserve">Условия, которых следует избегать</w:t>
      </w:r>
    </w:p>
    <w:p>
      <w:pPr>
        <w:spacing w:after="100" w:line="264"/>
      </w:pPr>
      <w:r>
        <w:rPr>
          <w:sz w:val="20"/>
          <w:szCs w:val="20"/>
        </w:rPr>
        <w:t xml:space="preserve">Химически стабилен при комнатной температуре. Избегать высоких температур.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Материалы, которых следует избегать</w:t>
      </w:r>
    </w:p>
    <w:p>
      <w:pPr>
        <w:spacing w:after="100" w:line="264"/>
      </w:pPr>
      <w:r>
        <w:rPr>
          <w:sz w:val="20"/>
          <w:szCs w:val="20"/>
        </w:rPr>
        <w:t xml:space="preserve">Несовместимость с водой, спиртами, щелочами и кислотами. При контакте с водой или влажностью выделяется газообразный CO₂. Реакция экзотермическая с повышением интенсивности по мере роста температуры.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Опасные продукты распада</w:t>
      </w:r>
    </w:p>
    <w:p>
      <w:pPr>
        <w:spacing w:after="100" w:line="264"/>
      </w:pPr>
      <w:r>
        <w:rPr>
          <w:sz w:val="20"/>
          <w:szCs w:val="20"/>
        </w:rPr>
        <w:t xml:space="preserve">Маловероятны при нормальном промышленном применении.</w:t>
      </w:r>
    </w:p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11: ТОКСИКОЛОГИЧЕСКАЯ ИНФОРМАЦИЯ</w:t>
            </w:r>
          </w:p>
        </w:tc>
      </w:tr>
    </w:tbl>
    <w:p>
      <w:pPr>
        <w:spacing w:after="120"/>
      </w:pPr>
    </w:p>
    <w:p>
      <w:pPr>
        <w:spacing w:after="60" w:line="264"/>
      </w:pPr>
      <w:r>
        <w:rPr>
          <w:b/>
          <w:bCs/>
          <w:sz w:val="20"/>
          <w:szCs w:val="20"/>
        </w:rPr>
        <w:t xml:space="preserve">Вдыхание</w:t>
      </w:r>
    </w:p>
    <w:p>
      <w:pPr>
        <w:spacing w:after="100" w:line="264"/>
      </w:pPr>
      <w:r>
        <w:rPr>
          <w:sz w:val="20"/>
          <w:szCs w:val="20"/>
        </w:rPr>
        <w:t xml:space="preserve">Данный продукт раздражает дыхательные пути и является потенциальным дыхательным сенсибилизатором. Многократное вдыхание паров или аэрозолей на уровнях выше предельно допустимой концентрации способно привести к дыхательной сенсибилизации. Симптомы могут включать раздражение глаз, носа, горла и лёгких, возможно, в сочетании с сухостью в горле, стеснением в груди и затруднением дыхания. Указанные дыхательные симптомы могут проявляться спустя несколько часов после воздействия. Гиперреактивная реакция даже при минимальных концентрациях MDI может проявляться у лиц со склонностью к аллергии. LC50 490 мг/м³ (средняя летальная концентрация вдыхаемых аэрозолей, для крысы).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Контакт с кожей</w:t>
      </w:r>
    </w:p>
    <w:p>
      <w:pPr>
        <w:spacing w:after="100" w:line="264"/>
      </w:pPr>
      <w:r>
        <w:rPr>
          <w:sz w:val="20"/>
          <w:szCs w:val="20"/>
        </w:rPr>
        <w:t xml:space="preserve">Умеренный раздражитель. Многократный или продолжительный контакт может вызвать раздражение кожи. Исследования на животных показали, что респираторная сенсибилизация может быть вызвана при контакте с кожей известных дыхательных сенсибилизаторов, включая диизоцианаты. Эти результаты подчёркивают необходимость ношения защитной одежды, включая перчатки, в процессе работы с этими материалами. LD50 dermal: &gt; 5000 мг/кг (средняя дермальная летальная доза, для кролика).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Попадание в глаза</w:t>
      </w:r>
    </w:p>
    <w:p>
      <w:pPr>
        <w:spacing w:after="100" w:line="264"/>
      </w:pPr>
      <w:r>
        <w:rPr>
          <w:sz w:val="20"/>
          <w:szCs w:val="20"/>
        </w:rPr>
        <w:t xml:space="preserve">Пар, аэрозоль и жидкость являются раздражителями.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Приём внутрь</w:t>
      </w:r>
    </w:p>
    <w:p>
      <w:pPr>
        <w:spacing w:after="100" w:line="264"/>
      </w:pPr>
      <w:r>
        <w:rPr>
          <w:sz w:val="20"/>
          <w:szCs w:val="20"/>
        </w:rPr>
        <w:t xml:space="preserve">Низкая пероральная токсичность. Проглатывание может вызвать раздражение желудочно-кишечного тракта. LD50 oral: &gt; 5000 мг/кг (средняя пероральная летальная доза, для крысы).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Длительное воздействие</w:t>
      </w:r>
    </w:p>
    <w:p>
      <w:pPr>
        <w:spacing w:after="100" w:line="264"/>
      </w:pPr>
      <w:r>
        <w:rPr>
          <w:sz w:val="20"/>
          <w:szCs w:val="20"/>
        </w:rPr>
        <w:t xml:space="preserve">Крысы в течение двух лет подвергались воздействию аэрозоля MDI, что привело к хроническому раздражению лёгких при высоких концентрациях. Только при максимальной концентрации (6 мг/м³) наблюдался значительный рост случаев развития доброкачественной опухоли лёгких (аденома) и одной злокачественной опухоли (аденокарцинома). При концентрации 1 мг/м³ не отмечено случаев развития опухоли лёгких, а при концентрации 0,2 мг/м³ не наблюдалось никаких вредных последствий. В целом частота возникновения опухоли, как доброкачественной, так и злокачественной, а также количество животных с опухолями не отличались от контрольных статистических показателей. Исследования показали, что рост случаев развития опухолей лёгких связан с продолжительным раздражением дыхательных путей и одновременной аккумуляцией жёлтого материала в лёгких. Наблюдения организма человека в промышленных условиях не выявили каких-либо связей между воздействием MDI и развитием раковых заболеваний. При исследовании животных (крыс) не отмечено каких-либо врождённых дефектов. Фетотоксичность наблюдалась только при воздействии чрезвычайно токсичных доз (включая летальные). Также отсутствуют существенные доказательства мутагенного потенциала.</w:t>
      </w:r>
    </w:p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12: ЭКОЛОГИЧЕСКАЯ ИНФОРМАЦИЯ</w:t>
            </w:r>
          </w:p>
        </w:tc>
      </w:tr>
    </w:tbl>
    <w:p>
      <w:pPr>
        <w:spacing w:after="120"/>
      </w:pPr>
    </w:p>
    <w:p>
      <w:pPr>
        <w:spacing w:after="60" w:line="264"/>
      </w:pPr>
      <w:r>
        <w:rPr>
          <w:b/>
          <w:bCs/>
          <w:sz w:val="20"/>
          <w:szCs w:val="20"/>
        </w:rPr>
        <w:t xml:space="preserve">Экотоксичность</w:t>
      </w:r>
    </w:p>
    <w:p>
      <w:pPr>
        <w:spacing w:after="100" w:line="264"/>
      </w:pPr>
      <w:r>
        <w:rPr>
          <w:sz w:val="20"/>
          <w:szCs w:val="20"/>
        </w:rPr>
        <w:t xml:space="preserve">LC/EC50 &gt; 1000 мг/л (рыба, черви), LC50 &gt; 100 мг/л (бактерии).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Перемещение в почве</w:t>
      </w:r>
    </w:p>
    <w:p>
      <w:pPr>
        <w:spacing w:after="100" w:line="264"/>
      </w:pPr>
      <w:r>
        <w:rPr>
          <w:sz w:val="20"/>
          <w:szCs w:val="20"/>
        </w:rPr>
        <w:t xml:space="preserve">Нет данных.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Стойкость и распад</w:t>
      </w:r>
    </w:p>
    <w:p>
      <w:pPr>
        <w:spacing w:after="100" w:line="264"/>
      </w:pPr>
      <w:r>
        <w:rPr>
          <w:sz w:val="20"/>
          <w:szCs w:val="20"/>
        </w:rPr>
        <w:t xml:space="preserve">MDI реагирует с водой с образованием инертной, не разлагаемой микроорганизмами полимочевины и растворимого диаминодифенилметана (MDA) очень малого уровня.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Способность к биоаккумуляции</w:t>
      </w:r>
    </w:p>
    <w:p>
      <w:pPr>
        <w:spacing w:after="100" w:line="264"/>
      </w:pPr>
      <w:r>
        <w:rPr>
          <w:sz w:val="20"/>
          <w:szCs w:val="20"/>
        </w:rPr>
        <w:t xml:space="preserve">Исследования воздействия на окружающую среду не выявили очевидной биоаккумуляции MDI или MDA.</w:t>
      </w:r>
    </w:p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13: РЕКОМЕНДАЦИИ ПО УТИЛИЗАЦИИ</w:t>
            </w:r>
          </w:p>
        </w:tc>
      </w:tr>
    </w:tbl>
    <w:p>
      <w:pPr>
        <w:spacing w:after="120"/>
      </w:pPr>
    </w:p>
    <w:p>
      <w:pPr>
        <w:spacing w:after="60" w:line="264"/>
      </w:pPr>
      <w:r>
        <w:rPr>
          <w:b/>
          <w:bCs/>
          <w:sz w:val="20"/>
          <w:szCs w:val="20"/>
        </w:rPr>
        <w:t xml:space="preserve">Общие инструкции</w:t>
      </w:r>
    </w:p>
    <w:p>
      <w:pPr>
        <w:spacing w:after="100" w:line="264"/>
      </w:pPr>
      <w:r>
        <w:rPr>
          <w:sz w:val="20"/>
          <w:szCs w:val="20"/>
        </w:rPr>
        <w:t xml:space="preserve">Образование отходов должно быть сведено к минимальному достижимому уровню. Утилизация должна осуществляться в соответствии с местным, государственным или национальным законодательством (Директива Совета 91/689/EEC и 94/62/EC). Необработанный материал не пригоден для утилизации. Отходы, даже в небольших количествах, не должны попадать в стоки, канализацию или водоёмы.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Инструкции по очистке упаковки</w:t>
      </w:r>
    </w:p>
    <w:p>
      <w:pPr>
        <w:spacing w:after="100" w:line="264"/>
      </w:pPr>
      <w:r>
        <w:rPr>
          <w:sz w:val="20"/>
          <w:szCs w:val="20"/>
        </w:rPr>
        <w:t xml:space="preserve">Для очистки контейнера необходимо удалить максимальное количество его содержимого. Для переработки порожних контейнеров следует руководствоваться требованиями сборщика отходов. В соответствии с EWC (Европейский каталог отходов), чистая порожняя упаковка классифицируется как 15 01 xx.</w:t>
      </w:r>
    </w:p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14: ТРАНСПОРТНАЯ ИНФОРМАЦИЯ</w:t>
            </w:r>
          </w:p>
        </w:tc>
      </w:tr>
    </w:tbl>
    <w:p>
      <w:pPr>
        <w:spacing w:after="120"/>
      </w:pPr>
    </w:p>
    <w:p>
      <w:pPr>
        <w:spacing w:after="60" w:line="264"/>
      </w:pPr>
      <w:r>
        <w:rPr>
          <w:b/>
          <w:bCs/>
          <w:sz w:val="20"/>
          <w:szCs w:val="20"/>
        </w:rPr>
        <w:t xml:space="preserve">RID/ADR — железнодорожный/автомобильный транспорт</w:t>
      </w:r>
    </w:p>
    <w:tbl>
      <w:tblPr>
        <w:tblW w:type="dxa" w:w="990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4600"/>
        <w:gridCol w:w="4926"/>
      </w:tblGrid>
      <w:tr>
        <w:trPr>
          <w:tblHeader/>
        </w:trPr>
        <w:tc>
          <w:tcPr>
            <w:tcW w:type="dxa" w:w="4600"/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64"/>
            </w:pPr>
            <w:r>
              <w:rPr>
                <w:b/>
                <w:bCs/>
                <w:sz w:val="18"/>
                <w:szCs w:val="18"/>
              </w:rPr>
              <w:t xml:space="preserve">Показатель</w:t>
            </w:r>
          </w:p>
        </w:tc>
        <w:tc>
          <w:tcPr>
            <w:tcW w:type="dxa" w:w="4926"/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64"/>
            </w:pPr>
            <w:r>
              <w:rPr>
                <w:b/>
                <w:bCs/>
                <w:sz w:val="18"/>
                <w:szCs w:val="18"/>
              </w:rPr>
              <w:t xml:space="preserve">Значение</w:t>
            </w:r>
          </w:p>
        </w:tc>
      </w:tr>
      <w:tr>
        <w:tc>
          <w:tcPr>
            <w:tcW w:type="dxa" w:w="46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UN</w:t>
            </w:r>
          </w:p>
        </w:tc>
        <w:tc>
          <w:tcPr>
            <w:tcW w:type="dxa" w:w="49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1263</w:t>
            </w:r>
          </w:p>
        </w:tc>
      </w:tr>
      <w:tr>
        <w:tc>
          <w:tcPr>
            <w:tcW w:type="dxa" w:w="46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Название</w:t>
            </w:r>
          </w:p>
        </w:tc>
        <w:tc>
          <w:tcPr>
            <w:tcW w:type="dxa" w:w="49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Краска или лакокрасочный материал</w:t>
            </w:r>
          </w:p>
        </w:tc>
      </w:tr>
      <w:tr>
        <w:tc>
          <w:tcPr>
            <w:tcW w:type="dxa" w:w="46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Класс</w:t>
            </w:r>
          </w:p>
        </w:tc>
        <w:tc>
          <w:tcPr>
            <w:tcW w:type="dxa" w:w="49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3</w:t>
            </w:r>
          </w:p>
        </w:tc>
      </w:tr>
      <w:tr>
        <w:tc>
          <w:tcPr>
            <w:tcW w:type="dxa" w:w="46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Маркировка степени опасности</w:t>
            </w:r>
          </w:p>
        </w:tc>
        <w:tc>
          <w:tcPr>
            <w:tcW w:type="dxa" w:w="49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3</w:t>
            </w:r>
          </w:p>
        </w:tc>
      </w:tr>
      <w:tr>
        <w:tc>
          <w:tcPr>
            <w:tcW w:type="dxa" w:w="46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Группа упаковки</w:t>
            </w:r>
          </w:p>
        </w:tc>
        <w:tc>
          <w:tcPr>
            <w:tcW w:type="dxa" w:w="49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III</w:t>
            </w:r>
          </w:p>
        </w:tc>
      </w:tr>
      <w:tr>
        <w:tc>
          <w:tcPr>
            <w:tcW w:type="dxa" w:w="46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Транспортная группа</w:t>
            </w:r>
          </w:p>
        </w:tc>
        <w:tc>
          <w:tcPr>
            <w:tcW w:type="dxa" w:w="49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3</w:t>
            </w:r>
          </w:p>
        </w:tc>
      </w:tr>
      <w:tr>
        <w:tc>
          <w:tcPr>
            <w:tcW w:type="dxa" w:w="46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Код ограничения для туннелей</w:t>
            </w:r>
          </w:p>
        </w:tc>
        <w:tc>
          <w:tcPr>
            <w:tcW w:type="dxa" w:w="49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D/E</w:t>
            </w:r>
          </w:p>
        </w:tc>
      </w:tr>
      <w:tr>
        <w:tc>
          <w:tcPr>
            <w:tcW w:type="dxa" w:w="46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Определение рисков</w:t>
            </w:r>
          </w:p>
        </w:tc>
        <w:tc>
          <w:tcPr>
            <w:tcW w:type="dxa" w:w="49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33</w:t>
            </w:r>
          </w:p>
        </w:tc>
      </w:tr>
      <w:tr>
        <w:tc>
          <w:tcPr>
            <w:tcW w:type="dxa" w:w="46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Специальные статьи</w:t>
            </w:r>
          </w:p>
        </w:tc>
        <w:tc>
          <w:tcPr>
            <w:tcW w:type="dxa" w:w="49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163, 640H, 650</w:t>
            </w:r>
          </w:p>
        </w:tc>
      </w:tr>
      <w:tr>
        <w:tc>
          <w:tcPr>
            <w:tcW w:type="dxa" w:w="46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ADR 3.4 — ограниченное количество</w:t>
            </w:r>
          </w:p>
        </w:tc>
        <w:tc>
          <w:tcPr>
            <w:tcW w:type="dxa" w:w="49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В соответствии с ADR 3.4 опасные грузы упаковываются в ограниченном или освобождённом количестве в малые упаковочные единицы</w:t>
            </w:r>
          </w:p>
        </w:tc>
      </w:tr>
    </w:tbl>
    <w:p>
      <w:pPr>
        <w:spacing w:after="60" w:line="264"/>
      </w:pPr>
      <w:r>
        <w:rPr>
          <w:b/>
          <w:bCs/>
          <w:sz w:val="20"/>
          <w:szCs w:val="20"/>
        </w:rPr>
        <w:t xml:space="preserve">Прочие виды транспорта</w:t>
      </w:r>
    </w:p>
    <w:p>
      <w:pPr>
        <w:spacing w:after="100" w:line="264"/>
      </w:pPr>
      <w:r>
        <w:rPr>
          <w:sz w:val="20"/>
          <w:szCs w:val="20"/>
        </w:rPr>
        <w:t xml:space="preserve">ADN/ADNR (внутренние водные пути): UN 1263, класс 3. IMO/IMDG (морская транспортировка): UN 1263, класс 3. ICAO/IATA (воздушная транспортировка): UN 1263, класс 3.</w:t>
      </w:r>
    </w:p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15: НОРМАТИВНАЯ ИНФОРМАЦИЯ</w:t>
            </w:r>
          </w:p>
        </w:tc>
      </w:tr>
    </w:tbl>
    <w:p>
      <w:pPr>
        <w:spacing w:after="120"/>
      </w:pPr>
    </w:p>
    <w:p>
      <w:pPr>
        <w:spacing w:after="60" w:line="264"/>
      </w:pPr>
      <w:r>
        <w:rPr>
          <w:b/>
          <w:bCs/>
          <w:sz w:val="20"/>
          <w:szCs w:val="20"/>
        </w:rPr>
        <w:t xml:space="preserve">15.1 Нормативы техники безопасности, охраны труда и окружающей среды</w:t>
      </w:r>
    </w:p>
    <w:p>
      <w:pPr>
        <w:spacing w:after="100" w:line="264"/>
      </w:pPr>
      <w:r>
        <w:rPr>
          <w:sz w:val="20"/>
          <w:szCs w:val="20"/>
        </w:rPr>
        <w:t xml:space="preserve">Не подпадает под особые условия.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15.2 Оценка химической безопасности</w:t>
      </w:r>
    </w:p>
    <w:p>
      <w:pPr>
        <w:spacing w:after="100" w:line="264"/>
      </w:pPr>
      <w:r>
        <w:rPr>
          <w:sz w:val="20"/>
          <w:szCs w:val="20"/>
        </w:rPr>
        <w:t xml:space="preserve">Не завершена.</w:t>
      </w:r>
    </w:p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16: ДОПОЛНИТЕЛЬНАЯ ИНФОРМАЦИЯ</w:t>
            </w:r>
          </w:p>
        </w:tc>
      </w:tr>
    </w:tbl>
    <w:p>
      <w:pPr>
        <w:spacing w:after="120"/>
      </w:pPr>
    </w:p>
    <w:p>
      <w:pPr>
        <w:spacing w:after="60" w:line="264"/>
      </w:pPr>
      <w:r>
        <w:rPr>
          <w:b/>
          <w:bCs/>
          <w:sz w:val="20"/>
          <w:szCs w:val="20"/>
        </w:rPr>
        <w:t xml:space="preserve">Перечень соответствующих R-фраз</w:t>
      </w:r>
    </w:p>
    <w:p>
      <w:pPr>
        <w:spacing w:after="100" w:line="264"/>
      </w:pPr>
      <w:r>
        <w:rPr>
          <w:sz w:val="20"/>
          <w:szCs w:val="20"/>
        </w:rPr>
        <w:t xml:space="preserve">R20 — опасно при вдыхании. R36/37/38 — раздражает глаза, дыхательную систему и кожу. R40 — возможная угроза канцерогенного эффекта. R42/43 — может вызывать аллергические реакции при вдыхании и контакте с кожей. R48/20 — токсичный: опасность серьёзного ущерба здоровью при продолжительном воздействии.</w:t>
      </w:r>
    </w:p>
    <w:p>
      <w:pPr>
        <w:spacing w:after="200"/>
      </w:pPr>
    </w:p>
    <w:sectPr>
      <w:pgSz w:w="11906" w:h="16838" w:orient="portrait"/>
      <w:pgMar w:top="1000" w:right="1000" w:bottom="1000" w:left="1000" w:header="708" w:footer="708" w:gutter="0"/>
      <w:pgBorders w:display="allPages" w:offsetFrom="page">
        <w:top w:val="single" w:color="8EA9DB" w:sz="8" w:space="24"/>
        <w:left w:val="single" w:color="8EA9DB" w:sz="8" w:space="24"/>
        <w:bottom w:val="single" w:color="8EA9DB" w:sz="8" w:space="24"/>
        <w:right w:val="single" w:color="8EA9DB" w:sz="8" w:space="24"/>
      </w:pgBorders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2026-08-02T02:17:38.190Z</dcterms:created>
  <dcterms:modified xsi:type="dcterms:W3CDTF">2026-08-02T02:17:38.190Z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