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  <w:jc w:val="center"/>
      </w:pPr>
      <w:r>
        <w:rPr>
          <w:rFonts w:ascii="Calibri" w:cs="Calibri" w:eastAsia="Calibri" w:hAnsi="Calibri"/>
          <w:b/>
          <w:bCs/>
          <w:color w:val="1F3864"/>
          <w:sz w:val="40"/>
          <w:szCs w:val="40"/>
        </w:rPr>
        <w:t xml:space="preserve">Паспорт безопасности</w:t>
      </w:r>
    </w:p>
    <w:p>
      <w:pPr>
        <w:spacing w:after="120" w:before="0"/>
        <w:jc w:val="center"/>
      </w:pPr>
      <w:r>
        <w:rPr>
          <w:rFonts w:ascii="Calibri" w:cs="Calibri" w:eastAsia="Calibri" w:hAnsi="Calibri"/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1F3864" w:sz="8" w:space="6"/>
        </w:pBdr>
        <w:spacing w:after="120" w:before="0"/>
        <w:jc w:val="center"/>
      </w:pPr>
      <w:r>
        <w:rPr>
          <w:rFonts w:ascii="Calibri" w:cs="Calibri" w:eastAsia="Calibri" w:hAnsi="Calibri"/>
          <w:b/>
          <w:bCs/>
          <w:sz w:val="28"/>
          <w:szCs w:val="28"/>
        </w:rPr>
        <w:t xml:space="preserve">FUGA FIX — Шпаклёвка для паркета</w:t>
      </w:r>
    </w:p>
    <w:p>
      <w:pPr>
        <w:spacing w:after="20" w:before="0"/>
        <w:jc w:val="center"/>
      </w:pPr>
      <w:r>
        <w:rPr>
          <w:rFonts w:ascii="Calibri" w:cs="Calibri" w:eastAsia="Calibri" w:hAnsi="Calibri"/>
          <w:i/>
          <w:iCs/>
          <w:sz w:val="16"/>
          <w:szCs w:val="16"/>
        </w:rPr>
        <w:t xml:space="preserve">Паспорт безопасности соответствует образцу, установленному Регламентом (ЕС) № 2020/878</w:t>
      </w:r>
    </w:p>
    <w:p>
      <w:pPr>
        <w:spacing w:after="20" w:before="0"/>
        <w:jc w:val="center"/>
      </w:pPr>
      <w:r>
        <w:rPr>
          <w:rFonts w:ascii="Calibri" w:cs="Calibri" w:eastAsia="Calibri" w:hAnsi="Calibri"/>
          <w:i/>
          <w:iCs/>
          <w:sz w:val="16"/>
          <w:szCs w:val="16"/>
        </w:rPr>
        <w:t xml:space="preserve">Дата составления: 08.04.2013 г.  ·  Актуализация: 23.04.2025 г.  ·  версия 2.0.0</w:t>
      </w:r>
    </w:p>
    <w:p>
      <w:pPr>
        <w:spacing w:after="12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1.1. Идентификатор продукта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691"/>
        <w:gridCol w:w="6855"/>
      </w:tblGrid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Торговое название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FUGA FIX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Шпаклёвка для паркета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Компоненты согласно ст. 18 п. 3 подп. b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1-метоксипропан-2-ол; пропан-2-ол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UFI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JN10-J0YU-400P-DQAG</w:t>
            </w:r>
          </w:p>
        </w:tc>
      </w:tr>
    </w:tbl>
    <w:p>
      <w:pPr>
        <w:spacing w:after="8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1.2. Соответствующие установленные виды применения вещества или смеси и виды применения, которые не рекомендуются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691"/>
        <w:gridCol w:w="6855"/>
      </w:tblGrid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Применение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Универсальная быстросохнущая шпаклёвка для паркета. Герметик.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Область применения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Промышленное, профессиональное применение (профессиональный пользователь), потребители.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Виды применения, которые не рекомендуются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Иные, чем указано выше (см. также раздел 15).</w:t>
            </w:r>
          </w:p>
        </w:tc>
      </w:tr>
    </w:tbl>
    <w:p>
      <w:pPr>
        <w:spacing w:after="8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1.3. Данные о поставщике паспорта безопасности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691"/>
        <w:gridCol w:w="6855"/>
      </w:tblGrid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Наименование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RENOVE Sp. z o.o.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Адрес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Wola Pękoszewska 82a, 96-111 Kowiesy, Польша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Номер телефона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46 831-74-14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Номер факса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46 831-74-14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E-mail по вопросам паспорта безопасности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renove@renove.com.pl</w:t>
            </w:r>
          </w:p>
        </w:tc>
      </w:tr>
    </w:tbl>
    <w:p>
      <w:pPr>
        <w:spacing w:after="8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1.4. Номер телефона экстренной связи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691"/>
        <w:gridCol w:w="6855"/>
      </w:tblGrid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Телефон экстренной связи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112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+42 631 74 14 (пн.–пт., 9:00–15:00)</w:t>
            </w:r>
          </w:p>
        </w:tc>
      </w:tr>
    </w:tbl>
    <w:p>
      <w:pPr>
        <w:spacing w:after="80" w:before="0"/>
      </w:pP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2: ИДЕНТИФИКАЦИЯ ОПАСНОСТИ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2.1. Классификация вещества или смеси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5273"/>
        <w:gridCol w:w="5273"/>
      </w:tblGrid>
      <w:tr>
        <w:trPr>
          <w:tblHeader/>
        </w:trPr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Класс и категория опасности</w:t>
            </w:r>
          </w:p>
        </w:tc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H-фраза</w:t>
            </w:r>
          </w:p>
        </w:tc>
      </w:tr>
      <w:tr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Flam Liq. 2</w:t>
            </w:r>
          </w:p>
        </w:tc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H225</w:t>
            </w:r>
          </w:p>
        </w:tc>
      </w:tr>
      <w:tr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Eye Irrit. 2</w:t>
            </w:r>
          </w:p>
        </w:tc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H319</w:t>
            </w:r>
          </w:p>
        </w:tc>
      </w:tr>
      <w:tr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STOT SE 3</w:t>
            </w:r>
          </w:p>
        </w:tc>
        <w:tc>
          <w:tcPr>
            <w:tcW w:type="dxa" w:w="5273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H336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/>
          <w:iCs/>
          <w:sz w:val="18"/>
          <w:szCs w:val="18"/>
        </w:rPr>
        <w:t xml:space="preserve">Расшифровка символов и сокращений, указывающих класс и категорию опасности, а также фраз, указывающих вид опасности (H), приведена в разделе 16.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Смесь классифицирована как представляющая опасность согласно критериям Регламента (ЕС) № 1272/2008: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Опасности для человека, обусловленные токсичностью и анализом специфических последствий для здоровья человека: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Действие, раздражающее глаза, категория 2. Вызывает серьёзное раздражение глаз.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Специфическая токсичность на органы-мишени (однократное воздействие), категория 3. Может вызывать сонливость или головокружение.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Опасности для окружающей среды: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не соответствует критериям классификации.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Опасности для человека и окружающей среды, обусловленные физико-химическими свойствами: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Легковоспламеняющиеся жидкости, категория 2. Легковоспламеняющаяся жидкость и пары.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2.2. Элементы маркировки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Пиктограммы: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GHS02, GHS07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Сигнальное слово: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ОПАСНО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H-фразы (указания на опасность):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266"/>
        <w:gridCol w:w="9280"/>
      </w:tblGrid>
      <w:tr>
        <w:trPr>
          <w:tblHeader/>
        </w:trPr>
        <w:tc>
          <w:tcPr>
            <w:tcW w:type="dxa" w:w="126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Код</w:t>
            </w:r>
          </w:p>
        </w:tc>
        <w:tc>
          <w:tcPr>
            <w:tcW w:type="dxa" w:w="92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Формулировка</w:t>
            </w:r>
          </w:p>
        </w:tc>
      </w:tr>
      <w:tr>
        <w:tc>
          <w:tcPr>
            <w:tcW w:type="dxa" w:w="126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H225</w:t>
            </w:r>
          </w:p>
        </w:tc>
        <w:tc>
          <w:tcPr>
            <w:tcW w:type="dxa" w:w="92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Легковоспламеняющаяся жидкость и пары.</w:t>
            </w:r>
          </w:p>
        </w:tc>
      </w:tr>
      <w:tr>
        <w:tc>
          <w:tcPr>
            <w:tcW w:type="dxa" w:w="126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H319</w:t>
            </w:r>
          </w:p>
        </w:tc>
        <w:tc>
          <w:tcPr>
            <w:tcW w:type="dxa" w:w="92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Вызывает серьёзное раздражение глаз.</w:t>
            </w:r>
          </w:p>
        </w:tc>
      </w:tr>
      <w:tr>
        <w:tc>
          <w:tcPr>
            <w:tcW w:type="dxa" w:w="126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H336</w:t>
            </w:r>
          </w:p>
        </w:tc>
        <w:tc>
          <w:tcPr>
            <w:tcW w:type="dxa" w:w="928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Может вызывать сонливость или головокружение.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P-фразы (меры предосторожности):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476"/>
        <w:gridCol w:w="9070"/>
      </w:tblGrid>
      <w:tr>
        <w:trPr>
          <w:tblHeader/>
        </w:trPr>
        <w:tc>
          <w:tcPr>
            <w:tcW w:type="dxa" w:w="1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Код</w:t>
            </w:r>
          </w:p>
        </w:tc>
        <w:tc>
          <w:tcPr>
            <w:tcW w:type="dxa" w:w="90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Формулировка</w:t>
            </w:r>
          </w:p>
        </w:tc>
      </w:tr>
      <w:tr>
        <w:tc>
          <w:tcPr>
            <w:tcW w:type="dxa" w:w="1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P102</w:t>
            </w:r>
          </w:p>
        </w:tc>
        <w:tc>
          <w:tcPr>
            <w:tcW w:type="dxa" w:w="90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Хранить в недоступном для детей месте.</w:t>
            </w:r>
          </w:p>
        </w:tc>
      </w:tr>
      <w:tr>
        <w:tc>
          <w:tcPr>
            <w:tcW w:type="dxa" w:w="1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P210</w:t>
            </w:r>
          </w:p>
        </w:tc>
        <w:tc>
          <w:tcPr>
            <w:tcW w:type="dxa" w:w="90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Хранить вдали от источников тепла, горячих поверхностей, источников искр, открытого пламени и других источников воспламенения. Не курить.</w:t>
            </w:r>
          </w:p>
        </w:tc>
      </w:tr>
      <w:tr>
        <w:tc>
          <w:tcPr>
            <w:tcW w:type="dxa" w:w="1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P261</w:t>
            </w:r>
          </w:p>
        </w:tc>
        <w:tc>
          <w:tcPr>
            <w:tcW w:type="dxa" w:w="90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Избегать вдыхания пара/распылённой жидкости.</w:t>
            </w:r>
          </w:p>
        </w:tc>
      </w:tr>
      <w:tr>
        <w:tc>
          <w:tcPr>
            <w:tcW w:type="dxa" w:w="1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P304+P340</w:t>
            </w:r>
          </w:p>
        </w:tc>
        <w:tc>
          <w:tcPr>
            <w:tcW w:type="dxa" w:w="90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ПРИ ВДЫХАНИИ: вывести или вынести пострадавшего на свежий воздух и обеспечить ему условия для свободного дыхания.</w:t>
            </w:r>
          </w:p>
        </w:tc>
      </w:tr>
      <w:tr>
        <w:tc>
          <w:tcPr>
            <w:tcW w:type="dxa" w:w="1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P305+351+338</w:t>
            </w:r>
          </w:p>
        </w:tc>
        <w:tc>
          <w:tcPr>
            <w:tcW w:type="dxa" w:w="90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ПРИ ПОПАДАНИИ В ГЛАЗА: осторожно промывать водой в течение нескольких минут. Снять контактные линзы, если они есть и если это легко сделать. Продолжить промывание.</w:t>
            </w:r>
          </w:p>
        </w:tc>
      </w:tr>
      <w:tr>
        <w:tc>
          <w:tcPr>
            <w:tcW w:type="dxa" w:w="147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P403+P233</w:t>
            </w:r>
          </w:p>
        </w:tc>
        <w:tc>
          <w:tcPr>
            <w:tcW w:type="dxa" w:w="907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Хранить в хорошо вентилируемом месте. Хранить ёмкость плотно закрытой.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Дополнительная информация на этикетке (согласно ст. 25 и ст. 32 Регламента CLP):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не требуется.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Компоненты, подлежащие указанию на маркировке согласно ст. 18 п. 3 подп. b: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1-метоксипропан-2-ол; пропан-2-ол.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2.3. Прочие опасности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Оценка PBT или vPvB согласно Приложению XIII REACH — ни один из компонентов, перечисленных в разделе 3, не признан СБТ (PBT) или оСБсБ (vPvB) согласно действующим критериям.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содержит компонентов, внесённых в перечень, установленный согласно ст. 59 п. 1 Регламента (ЕС) № 1907/2006 (REACH), как обладающие свойствами эндокринных разрушителей, а также веществ со свойствами, нарушающими функционирование эндокринной системы, согласно критериям, определённым делегированным регламентом Комиссии (ЕС) 2017/2100 или регламентом Комиссии (ЕС) 2018/605, в концентрациях 0,1 % или более, а также компонентов, классифицированных как вещества, нарушающие функционирование эндокринной системы, в отношении здоровья человека или окружающей среды.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Пары могут образовывать взрывоопасные смеси с воздухом (приблизительные пределы взрываемости компонентов — см. раздел 9). Они тяжелее воздуха, скапливаются у поверхности земли или в нижних частях помещения. Применять только в хорошо вентилируемых помещениях.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Вдыхание паров в высоких концентрациях может вызвать симптомы раздражения дыхательных путей незначительной интенсивности.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Длительный или часто повторяющийся контакт с кожей может стать причиной чрезмерного пересушивания кожи.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3.1. Вещества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применимо — продукт является смесью.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3.2. Смеси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Компоненты, представляющие опасность: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164"/>
        <w:gridCol w:w="7382"/>
      </w:tblGrid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Наименование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Этанол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Содержание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&gt; 20 %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№ CAS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64-17-5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№ ЕС (WE)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200-578-6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Индексный номер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603-002-00-5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Регистрационный номер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01-2119457610-43-XXXX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Классификация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Flam. Liq. 2; H225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Eye Irrit. 2 H319</w:t>
            </w:r>
          </w:p>
        </w:tc>
      </w:tr>
    </w:tbl>
    <w:p>
      <w:pPr>
        <w:spacing w:after="80" w:before="0"/>
      </w:pP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164"/>
        <w:gridCol w:w="7382"/>
      </w:tblGrid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Наименование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Пропан-2-ол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Содержание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&gt; 20 %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№ CAS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67-63-0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№ ЕС (WE)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200-661-7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Индексный номер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603-117-00-0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Регистрационный номер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01-2119457558-25-XXXX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Классификация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Flam. Liq. 2; H225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Eye Irrit. 2; H319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STOT SE 3; H336</w:t>
            </w:r>
          </w:p>
        </w:tc>
      </w:tr>
    </w:tbl>
    <w:p>
      <w:pPr>
        <w:spacing w:after="80" w:before="0"/>
      </w:pP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164"/>
        <w:gridCol w:w="7382"/>
      </w:tblGrid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Наименование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1-Метоксипропан-2-ол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Содержание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&gt; 20 %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№ CAS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107-98-2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№ ЕС (WE)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203-539-1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Индексный номер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603-064-00-3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Регистрационный номер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01-2119457435-35-XXXX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Классификация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Flam. Liq. 3; H226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STOT SE 3; H336</w:t>
            </w:r>
          </w:p>
        </w:tc>
      </w:tr>
    </w:tbl>
    <w:p>
      <w:pPr>
        <w:spacing w:after="80" w:before="0"/>
      </w:pP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164"/>
        <w:gridCol w:w="7382"/>
      </w:tblGrid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Наименование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Бутан-2-он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Содержание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&lt; 1,5 %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№ CAS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78-93-3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№ ЕС (WE)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201-159-0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Индексный номер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606-002-00-3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Регистрационный номер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01-2119457290-43-XXXX</w:t>
            </w:r>
          </w:p>
        </w:tc>
      </w:tr>
      <w:tr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Классификация</w:t>
            </w:r>
          </w:p>
        </w:tc>
        <w:tc>
          <w:tcPr>
            <w:tcW w:type="dxa" w:w="7382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Flam. Liq. 2; H225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Eye Irrit. 2; H319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STOT SE 3; H336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EUH066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/>
          <w:iCs/>
          <w:sz w:val="18"/>
          <w:szCs w:val="18"/>
        </w:rPr>
        <w:t xml:space="preserve">Расшифровка символов и сокращений, указывающих класс и категорию опасности, а также фраз, указывающих вид опасности (H), приведена в разделе 16.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4: МЕРЫ ПЕРВОЙ ПОМОЩИ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4.1. Описание мер первой помощи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Воздействие через дыхательные пути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Вывести или вынести пострадавшего на свежий воздух (спасатели должны быть оснащены надлежащими средствами индивидуальной защиты — см. раздел 8). Обеспечить пострадавшему тепло и условия для отдыха. Вызвать врача, если симптомы не проходят после прекращения воздействия. При остановке или нерегулярном дыхании применить искусственное дыхание.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Контакт с кожей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Немедленно снять загрязнённую одежду и обувь, вымыть кожу большим количеством проточной, прохладной воды с мылом или раствором мягкого моющего средства (если нет ожогов). При возникновении и сохранении раздражения кожи обратиться к врачу. При ожогах или сильном раздражении кожи наложить стерильную повязку и немедленно вызвать врача. Одежду и обувь тщательно очистить и выстирать перед повторным использованием.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Контакт с глазами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Немедленно снять контактные линзы и промывать глаза большим количеством тёплой воды не менее 15 минут (при вывернутых веках), избегая сильной струи воды из-за риска повреждения роговицы; при загрязнении одного глаза во время промывания защищать второй глаз от загрязнения. Наложить стерильную повязку. Немедленно вызвать врача или доставить пострадавшего к врачу — в каждом случае загрязнения глаз необходимо обеспечить пострадавшему консультацию офтальмолога.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Примечание: лица, подверженные риску загрязнения глаз, должны быть проинструктированы о необходимости и способе их немедленного промывания.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Воздействие через пищеварительный тракт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Если пострадавший полностью в сознании, следует тщательно прополоскать рот водой, а затем выпить 1–2 стакана воды. Не вызывать рвоту. Если рвота возникает самопроизвольно, держать голову ниже уровня бёдер, чтобы не допустить аспирации. Обратиться к врачу, показать паспорт безопасности, упаковку или этикетку. Обеспечить пострадавшему тепло и условия для отдыха, не давать ничего пить (кроме воды) и не давать лекарств без согласования с врачом.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Общие замечания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появлении любых тревожных симптомов немедленно вызвать врача или доставить пострадавшего в больницу, показать упаковку продукта или этикетку.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Пострадавшего без сознания уложить в устойчивое боковое положение, обеспечить покой, защитить от потери тепла, контролировать дыхание и пульс. Никогда не вызывать рвоту и не давать ничего внутрь человеку без сознания или в оглушённом состоянии.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4.2. Важнейшие острые и отсроченные симптомы и последствия воздействия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Продукт оказывает раздражающее действие на глаза — при контакте с глазами может возникнуть раздражение глаз, боль, покраснение конъюнктивы, слезотечение, нарушение зрения. При ингаляционном воздействии паров/аэрозолей в концентрациях выше допустимых могут возникнуть сонливость и головокружение, раздражение слизистых оболочек глаз (покраснение конъюнктивы, слезотечение, боль в глазах) и симптомы раздражения дыхательных путей (кашель, чувство жжения в горле и в носу, поверхностное дыхание); в высоких концентрациях могут возникнуть боли и головокружение, чувство слабости, сонливость, тошнота, угнетение центральной нервной системы, нарушения сознания. Симптомы отравления через пищеварительный тракт включают раздражение слизистых оболочек полости рта, горла, дальнейших отделов пищеварительного тракта (тошнота, рвота, диарея, боли в животе) и симптомы наркотического действия (сходные с алкогольным опьянением, головокружение, сонливость). При сильном алкогольном отравлении может возникнуть денатурация крови. При аспирации возможен отёк или аспирационная пневмония — симптомы могут быть отсроченными. При длительном или часто повторяющемся непосредственном контакте с кожей может возникнуть обезжиривание кожи, в крайних случаях в результате длительного, непрерывного контакта, особенно в окклюзионных условиях, может возникнуть химический ожог. Подробное описание см. раздел 11.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4.3. Указания относительно необходимости немедленной медицинской помощи и особого обращения с пострадавшим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Особых указаний нет. Симптоматическое лечение, детоксикация, поддержание жизненно важных функций. Наблюдать за пациентом в течение 48 часов на предмет возникновения отёка или аспирационной пневмонии.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5: МЕРЫ ПОЖАРОТУШЕНИЯ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5.1. Средства пожаротушения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Подходящие средства пожаротушения: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Порошковые огнетушащие средства, диоксид углерода, спиртостойкие огнетушащие пены, распылённые водяные струи, песок или земля.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Небольшой пожар: тушить порошковым или углекислотным огнетушителем.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Крупный пожар: горящие ёмкости или разлив тушить спиртостойкой пеной или распылёнными водяными струями.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Неподходящие средства пожаротушения: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применять компактные струи воды на поверхность жидкости (возможность разбрызгивания).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5.2. Особые опасности, связанные с веществом или смесью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Легковоспламеняющаяся жидкость и пары. Пары образуют горючие/взрывоопасные смеси с воздухом (пределы взрываемости — см. раздел 9), тяжелее воздуха, скапливаются у поверхности земли, в углублениях местности, в нижней части помещений, могут перемещаться к удалённым источникам воспламенения. Ёмкости, подверженные действию огня или высокой температуры, могут взорваться.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пожаре образуются оксид углерода и диоксид углерода, токсичные органические продукты частичного разложения компонентов. Не вдыхать дым.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5.3. Информация для пожарной охраны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Специальное защитное снаряжение пожарных: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Избегать контакта с продуктом, спасатели должны быть оснащены специализированным защитным снаряжением (антистатический химически стойкий комбинезон) с дыхательным аппаратом, не зависящим от окружающего воздуха, защитной обувью и защитными перчатками.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Прочие замечания: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Распорядиться об эвакуации опасной территории. Тушить пожар из-за укрытий, защищающих от последствий взрыва. Ёмкости, подверженные действию огня или высокой температуры, охлаждать распылённой водой с безопасного расстояния. Если это возможно без угрозы здоровью или жизни спасателей, следует удалить ёмкости из опасной зоны (угроза взрыва).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Обеспечить сбор загрязнённых средств, использованных для тушения пожара, не допускать попадания загрязнённых огнетушащих средств в канализационную систему, поверхностные воды и почву.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6.1. Индивидуальные меры предосторожности, защитное снаряжение и порядок действий в аварийной ситуации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Удалить с территории утечки посторонних и неуполномоченных лиц, а также животных, поместить их в безопасном, хорошо вентилируемом месте. Обозначить территорию предупреждающими табличками.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К работам по ликвидации последствий аварии привлекать лиц, прошедших обучение и оснащённых средствами индивидуальной защиты.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угрозе взрыва применять дополнительные средства защиты, например маски, защищающие лицо.</w:t>
      </w:r>
    </w:p>
    <w:p>
      <w:pPr>
        <w:pBdr>
          <w:left w:val="single" w:color="1F3864" w:sz="12" w:space="8"/>
        </w:pBdr>
        <w:spacing w:after="100" w:before="100"/>
        <w:ind w:left="200"/>
      </w:pPr>
      <w:r>
        <w:rPr>
          <w:rFonts w:ascii="Calibri" w:cs="Calibri" w:eastAsia="Calibri" w:hAnsi="Calibri"/>
          <w:b w:val="false"/>
          <w:bCs w:val="false"/>
          <w:i/>
          <w:iCs/>
          <w:sz w:val="18"/>
          <w:szCs w:val="18"/>
        </w:rPr>
        <w:t xml:space="preserve">ВНИМАНИЕ: зона, подверженная угрозе взрыва! Пары образуют горючие и взрывоопасные смеси с воздухом. Они тяжелее воздуха, скапливаются в нижней части помещений, могут переноситься к удалённым источникам воспламенения. Воспламенение или взрыв могут быть вызваны, например, искрами.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Устранить все источники воспламенения, погасить огонь, отключить устройства, способные вызвать искрение, не курить. Применять исключительно электрическое оборудование и иное оснащение во взрывозащищённом исполнении. Обеспечить заземление оборудования и ёмкостей.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крупной утечке проводить измерения концентраций компонентов продукта в воздухе на предмет взрывоопасных концентраций — применять эксплозиметр или индикаторные трубки. Пары разбавлять распылёнными водяными струями.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Обеспечить надлежащую вентиляцию. Не вдыхать пары, оставаться вне опасной зоны с наветренной стороны. Избегать непосредственного контакта с высвободившимся продуктом.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6.2. Меры предосторожности по защите окружающей среды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допускать попадания продукта в поверхностные воды, почву и грунтовые воды, а также в канализацию — защитить сточные колодцы. Ограничить распространение разлива обвалованием территории. В случае попадания больших количеств продукта в окружающую среду или в канализационную систему уведомить соответствующие органы власти и службы химического реагирования.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6.3. Методы и материалы для локализации и очистки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Если возможно, устранить утечку (например, загерметизировать ёмкость или поместить её во внешнюю защитную упаковку). Разлитое вещество засыпать песком, землёй или универсальным впитывающим материалом. Собрать загрязнённый сорбент в надлежащим образом закрытые и маркированные ёмкости и направить на утилизацию. Отходы являются легковоспламеняющимися и создают пожарную опасность, а также риск взрыва смеси паров с воздухом — обеспечить вентиляцию. При крупной утечке ограничить её обвалованием из земли, песка и т. п. во избежание распространения. При необходимости откачки жидкости применять насосы во взрывозащищённом исполнении. Тщательно очистить загрязнённые поверхности, промыть водой, которую затем следует собрать и также рассматривать как отход.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6.4. Ссылки на другие разделы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Средства индивидуальной защиты — см. раздел 8.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Удаление продукта и прочих остатков — см. раздел 13.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7: ОБРАЩЕНИЕ И ХРАНЕНИЕ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7.1. Меры предосторожности при безопасном обращении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Соблюдать общие правила гигиены и требования охраны труда при работе с химикатами (см. раздел 15).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Перед началом работы следует подробно ознакомиться с особыми мерами предосторожности и с инструкцией.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Легковоспламеняющаяся жидкость и пары. Не нагревать продукт. Применять вдали от источников тепла и воспламенения, открытого огня, искрящих устройств, разогретых поверхностей. Не применять искрообразующий инструмент. Утечка продукта на горячую волокнистую изоляцию может привести к самовоспламенению. Курение запрещено.</w:t>
      </w:r>
    </w:p>
    <w:p>
      <w:pPr>
        <w:pBdr>
          <w:left w:val="single" w:color="1F3864" w:sz="12" w:space="8"/>
        </w:pBdr>
        <w:spacing w:after="100" w:before="100"/>
        <w:ind w:left="200"/>
      </w:pPr>
      <w:r>
        <w:rPr>
          <w:rFonts w:ascii="Calibri" w:cs="Calibri" w:eastAsia="Calibri" w:hAnsi="Calibri"/>
          <w:b w:val="false"/>
          <w:bCs w:val="false"/>
          <w:i/>
          <w:iCs/>
          <w:sz w:val="18"/>
          <w:szCs w:val="18"/>
        </w:rPr>
        <w:t xml:space="preserve">Внимание! Пары образуют горючие/взрывоопасные смеси с воздухом, тяжелее воздуха, скапливаются у поверхности земли, в углублениях местности, в нижней части помещений, могут перемещаться к удалённым источникам воспламенения.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Применять только в хорошо вентилируемых помещениях — во время работы с продуктом необходимо обеспечить эффективный воздухообмен (общая вентиляция помещения и/или местная вытяжная в местах, где могут присутствовать пары или аэрозоли); не допускать образования паров или аэрозолей продукта, обеспечить регулярные измерения концентраций компонентов в воздухе, не допускать возникновения концентраций, превышающих значения гигиенических нормативов или пределы взрываемости. Пары продукта могут образовывать взрывоопасные смеси с воздухом (см. раздел 9) — при возможности возникновения таких концентраций вентиляционная и электрическая установки должны соответствовать условиям, установленным ввиду пожаро- и взрывоопасности, а также должны выполняться минимальные требования по улучшению безопасности и гигиены труда работников, выполняющих работы на местах, где может возникнуть взрывоопасная атмосфера, определённые отдельными нормативными актами.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Продукт может накапливать электростатические заряды, следует принять стандартные меры защиты от электростатических разрядов — резервуары для хранения и установки должны быть заземлены.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Обеспечить лёгкий доступ к огнетушащим средствам и оборудованию, необходимому при устранении утечки вещества.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резать, не пробивать отверстия, не сваривать и не сплющивать опорожнённые неочищенные ёмкости, а также не выполнять такого рода работы вблизи них (остатки продукта горючи — пары могут вызвать взрыв).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Избегать непосредственного контакта продукта с глазами и кожей, немедленно снять загрязнённую продуктом одежду и обувь, тщательно её выстирать и очистить перед повторным использованием, не вдыхать пары или аэрозоли, а также продукты горения, применять надлежащие средства индивидуальной защиты (см. раздел 8).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допускать контакта продукта с несовместимыми веществами (см. раздел 10).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Соблюдать правила гигиены. Во время работы с продуктом запрещается принимать пищу, пить напитки и курить, за исключением специально отведённых мест; следует мыть руки перед перерывами и по окончании работы.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7.2. Условия безопасного хранения, включая информацию о любой несовместимости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применении и хранении этого продукта необходимо соблюдать правила противопожарной защиты (продукт содержит горючие органические растворители, образующие горючие и взрывоопасные смеси с воздухом). Хранить в соответствии с правилами хранения химических веществ, в прохладном, сухом и хорошо вентилируемом помещении, вдали от источников тепла и воспламенения, избегать нагрева ёмкостей и прямого действия солнечных лучей. Обеспечить надлежащее заземление. Защищать от доступа света и влаги. Рекомендуемая температура хранения — от +5 °C до +25 °C. Защитить от доступа неуполномоченных лиц. Хранить в плотно закрытых и надлежащим образом маркированных ёмкостях. Защитить ёмкости от механических повреждений. Ёмкости хранить в вертикальном положении во избежание возможной утечки. Хранить в оригинальной упаковке производителя или в упаковке, изготовленной из того же материала.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Рекомендуемые материалы упаковки: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нержавеющая сталь, стекло.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Нерекомендуемые материалы упаковки: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некоторые пластмассы, ПВХ, натуральная резина, бутилкаучук, нитрильный каучук, неопрен, алюминий, медь, оцинкованное железо, оцинкованная сталь.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хранить вместе с пищевыми продуктами, кормами и несовместимыми веществами, избегать контакта, в частности, с кислотами и окислителями (см. раздел 10).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Места, а также ёмкости и резервуары, служащие для хранения или содержащие опасные вещества либо опасные смеси, должны быть надлежащим образом обозначены (см. раздел 15).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7.3. Специфические конечные виды применения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известны.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8.1. Параметры контроля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Национальные значения предельно допустимых концентраций в воздухе рабочей зоны с указанием правового основания (постановление Министра семьи, труда и социальной политики Польши 2018 г., поз. 1286, с последующими изменениями до Dz.U. 2024 поз. 1117 — см. раздел 15):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4218"/>
        <w:gridCol w:w="3164"/>
        <w:gridCol w:w="3164"/>
      </w:tblGrid>
      <w:tr>
        <w:trPr>
          <w:tblHeader/>
        </w:trPr>
        <w:tc>
          <w:tcPr>
            <w:tcW w:type="dxa" w:w="421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Вещество</w:t>
            </w:r>
          </w:p>
        </w:tc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NDS</w:t>
            </w:r>
          </w:p>
        </w:tc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NDSCh</w:t>
            </w:r>
          </w:p>
        </w:tc>
      </w:tr>
      <w:tr>
        <w:tc>
          <w:tcPr>
            <w:tcW w:type="dxa" w:w="421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Этанол</w:t>
            </w:r>
          </w:p>
        </w:tc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1900 мг/м³</w:t>
            </w:r>
          </w:p>
        </w:tc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установлено</w:t>
            </w:r>
          </w:p>
        </w:tc>
      </w:tr>
      <w:tr>
        <w:tc>
          <w:tcPr>
            <w:tcW w:type="dxa" w:w="421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Пропан-2-ол</w:t>
            </w:r>
          </w:p>
        </w:tc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900 мг/м³</w:t>
            </w:r>
          </w:p>
        </w:tc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1200 мг/м³ (пометка «кожа»)</w:t>
            </w:r>
          </w:p>
        </w:tc>
      </w:tr>
      <w:tr>
        <w:tc>
          <w:tcPr>
            <w:tcW w:type="dxa" w:w="421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1-Метоксипропан-2-ол</w:t>
            </w:r>
          </w:p>
        </w:tc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180 мг/м³</w:t>
            </w:r>
          </w:p>
        </w:tc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360 мг/м³ (пометка «кожа»)</w:t>
            </w:r>
          </w:p>
        </w:tc>
      </w:tr>
      <w:tr>
        <w:tc>
          <w:tcPr>
            <w:tcW w:type="dxa" w:w="4218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Бутан-2-он</w:t>
            </w:r>
          </w:p>
        </w:tc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450 мг/м³</w:t>
            </w:r>
          </w:p>
        </w:tc>
        <w:tc>
          <w:tcPr>
            <w:tcW w:type="dxa" w:w="3164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900 мг/м³ (пометка «кожа»)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Национальные допустимые биологические значения DSB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(значения, рекомендованные Межведомственной комиссией по NDS и NDN): бутан-2-он — 1,5 мг/л в моче.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Информация о рекомендуемых в настоящее время процедурах мониторинга наиболее значимых веществ: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Методика измерений — применять режим, методы, вид и периодичность выполнения исследований и измерений вредных для здоровья факторов в производственной среде в соответствии с действующим законодательством (см. раздел 15). Методы исследований и измерений вредных для здоровья факторов в производственной среде определяются польскими стандартами, а также международными или эквивалентными нормами, например: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определение этанола — по PN-85/Z-04140/02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определение пропан-2-ола — по PN-Z-04535:2022-01, PIMOŚP 2020, № 1(103)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определение 1-метоксипропан-2-ола — по PN-Z-04354:2005 либо PiMOŚP 2001, № 4(30)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определение бутан-2-она — по PN-Z-04449:2014 либо PIMOŚP 2012, № 1(74)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Значения DNEL и PNEC: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Этанол: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работников при остром воздействии через дыхательные пути, общее действие: 1900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работников при длительном воздействии через кожу, общее действие: 343 мг/кг м. 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работников при длительном воздействии через дыхательные пути, общее действие: 950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населения в целом при остром воздействии через дыхательные пути, общее действие: 950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населения в целом при длительном воздействии через кожу, общее действие: 206 мг/кг м. 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населения в целом при длительном воздействии через дыхательные пути, общее действие: 114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населения в целом при длительном воздействии через пищеварительный тракт, общее действие: 87 мг/кг м. 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PNEC (пресная вода) 0,96 мг/л; PNEC (морская вода) 0,79 мг/л; PNEC (осадок пресной воды) 3,6 мг/кг; PNEC (осадок морской воды) 2,9 мг/кг; PNEC (периодическое высвобождение) 2,75 мг/л; PNEC (очистные сооружения, STP) 580 мг/л; PNEC (почва) 0,63 мг/кг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Пропан-2-ол: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работников при длительном воздействии через кожу, общее действие: 888 мг/кг м. 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работников при длительном воздействии через дыхательные пути, общее действие: 500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потребителей при длительном воздействии через кожу, общее действие: 319 мг/кг м. 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потребителей при длительном воздействии через дыхательные пути, общее действие: 89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потребителей при длительном воздействии через пищеварительный тракт, общее действие: 26 мг/кг м. 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PNEC (пресная вода) 140,9 мг/л; PNEC (морская вода) 140,9 мг/л; PNEC (осадок пресной воды) 552 мг/кг; PNEC (осадок морской воды) 552 мг/кг; PNEC (периодическое высвобождение) 140,9 мг/л; PNEC (очистные сооружения, STP) 2251 мг/л; PNEC (почва) 28 мг/кг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1-Метоксипропан-2-ол: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работников при остром воздействии через дыхательные пути, местное действие: 553,5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работников при остром воздействии через дыхательные пути, общее действие: 553,5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работников при длительном воздействии через кожу, общее действие: 183 мг/кг м. т./сут.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работников при длительном воздействии через дыхательные пути, общее действие: 369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потребителей при длительном воздействии через кожу, общее действие: 78 мг/кг м. т./сут.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потребителей при длительном воздействии через дыхательные пути, общее действие: 43,9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потребителей при длительном воздействии через пищеварительный тракт, общее действие: 33 мг/кг м. т./сут.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PNEC (пресная вода) 10 мг/л; PNEC (морская вода) 1 мг/л; PNEC (осадок пресной воды) 52,3 мг/кг; PNEC (осадок морской воды) 5,2 мг/кг; PNEC (периодическое высвобождение) 100 мг/л; PNEC (очистные сооружения, STP) 100 мг/л; PNEC (почва) 4,59 мг/кг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Бутан-2-он: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работников при длительном воздействии через кожу, общее действие: 1161 мг/кг/сут.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работников при длительном воздействии через дыхательные пути, общее действие: 600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населения в целом при длительном воздействии через кожу, общее действие: 412 мг/кг/сут.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населения в целом при длительном воздействии через дыхательные пути: 106 мг/м³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DNEL для населения в целом при длительном воздействии через пищеварительный тракт, общее действие: 31 мг/кг/сут.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PNEC (пресная вода) 55,8 мг/л; PNEC (морская вода) 55,8 мг/л; PNEC (осадок пресной воды) 284,74 мг/кг; PNEC (осадок морской воды) 284,74 мг/кг; PNEC (очистные сооружения, STP) 709 мг/л; PNEC (периодическое высвобождение) 55,8 мг/л; PNEC (почва) 22,5 мг/кг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8.2. Контроль воздействия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8.2.1. Соответствующие технические средства контроля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Применять надлежащую вентиляцию (общую/местную вытяжную), при недостаточной вентиляции применять средства защиты дыхательных путей. Вентиляция во взрывозащищённом исполнении.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Обеспечить место для промывания глаз и кожи в случае загрязнения.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8.2.2. Индивидуальное защитное снаряжение (средства индивидуальной защиты):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Соблюдать общие правила гигиены и осторожности при работе с химикатами.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Во время применения не есть, не пить и не курить.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Хранить продукт вдали от пищевых продуктов, напитков и кормов.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вдыхать пары, распылённую жидкость и продукты горения.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Избегать контакта продукта с кожей и глазами. Избегать контакта глаз с загрязнёнными руками.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Перед перерывами и по окончании работы мыть руки и лицо. После окончания работы применять крем для рук.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Соблюдать периодичность прохождения периодических медицинских осмотров.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a) Защита глаз или лица: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очки, плотно прилегающие к лицу с боковыми щитками, защитные очки (PN-EN ISO 16321-1:2022-10, EN 166) либо маска, защищающая лицо.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b) Защита кожи: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(i) Защита рук: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защитные перчатки, устойчивые к действию и проникновению органических растворителей, соответствующие требованиям стандарта PN-EN 374:2005/AC:2006. Рекомендуемый материал при длительном контакте, например: бутилкаучук толщиной ≥ 0,35 мм; нитрильный каучук толщиной ≥ 0,35 мм, неопрен толщиной ≥ 0,75 мм, время проникновения ≥ 480 мин; для защиты от брызг можно применять перчатки из полихлоропрена толщиной ≥ 0,5 мм. Непригодные материалы: ПВХ, латекс, натуральная резина.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Выбор перчаток зависит не только от вида материала, но и от их качества, которое у каждого производителя может быть различным. Поэтому перчатки следует протестировать перед использованием. Перчатки следует заменять каждый раз после использования, а также при их повреждении, например при появлении отверстий или потёртостей.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(ii) Прочее: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защитная обувь (PN-EN ISO 20346:2022-09), защитная одежда, подобранная в зависимости от оценки риска — при возможности контакта продукта с кожей рекомендуется применение антистатической защитной одежды из материалов с покрытием, в крайних случаях — химически стойкий антистатический защитный комбинезон.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c) Защита дыхательных путей: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если гигиенические нормативы не превышены, защита дыхательных путей не требуется; при незначительных превышениях допустимых концентраций применять противогазовую маску с фильтром типа A (PN-EN 141:2002, PN-EN 14387:2021-07); при наличии аэрозолей применять фильтр не ниже A/P2 или ABEK/P2 (PN EN 140:2001, PN-EN 405+A1:2010, PN-EN 149+A1:2010, PN-EN 143:2021-07, PN-EN 14387:2021-07). В случае, когда концентрация неизвестна (например, в аварийной ситуации), — изолирующие дыхательные аппараты с независимым источником воздуха.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d) Термические опасности: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отсутствуют.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Когда концентрация вещества установлена и известна, выбор средств индивидуальной защиты следует производить с учётом концентрации вещества на данном рабочем месте, времени экспозиции и выполняемых работником операций. В аварийной ситуации, если концентрация вещества на рабочем месте неизвестна, применять средства индивидуальной защиты наивысшего рекомендуемого класса защиты.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Средства индивидуальной защиты должны соответствовать требованиям, установленным соответствующими нормативными актами (см. раздел 15).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8.2.3. Контроль воздействия на окружающую среду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Показатели загрязнения сточных вод — см. нормативные акты (раздел 15).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9.1. Информация об основных физических и химических свойствах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691"/>
        <w:gridCol w:w="6855"/>
      </w:tblGrid>
      <w:tr>
        <w:trPr>
          <w:tblHeader/>
        </w:trP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Свойство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Значение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Агрегатное состояние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Жидкость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Цвет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Бесцветный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Запах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Характерный для алифатических спиртов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Температура плавления/затвердевания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Этанол: ок. (–114) °C; 1-метоксипропан-2-ол: (–96) °C; пропан-2-ол: (–89) °C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Температура кипения или начальная температура кипения и диапазон температур кипения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Компонент с наименьшей температурой кипения (этанол): ок. 78 °C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Горючесть материалов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Жидкость легковоспламеняющаяся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Нижний и верхний пределы взрываемости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Пары растворителей образуют горючие и взрывоопасные смеси с воздухом; пределы взрываемости: этанол — нижний 3,3 %, верхний 19 %; 1-метоксипропан-2-ол — нижний 1,48 %, верхний 13,7 %; пропан-2-ол — нижний 2 %, верхний 12 %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Температура вспышки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Пропан-2-ол: ок. 12 °C; этанол: ок. 15 °C; 1-метоксипропан-2-ол: 31 °C (закрытый тигель)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Температура самовоспламенения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1-метоксипропан-2-ол: 287 °C; этанол: 363–425 °C; пропан-2-ол: ок. 425 °C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Температура разложения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определена — отсутствуют данные измерений; в рекомендуемых условиях применения разложение не происходит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pH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определён — отсутствуют данные измерений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Кинематическая вязкость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определена для смеси — отсутствуют данные измерений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Растворимость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Спирты, содержащиеся в продукте, полностью растворяются в воде; продукт растворим в полярных органических растворителях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Коэффициент распределения н-октанол/вода (log Pow)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Этанол: (–0,35); пропан-2-ол: 0,05; 1-метоксипропан-2-ол: 0,37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Давление паров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Этанол: ок. 59 мм рт. ст. (3,63 кПа) при температуре 20 °C; пропан-2-ол: 4,1 кПа при 20 °C, 6,02 кПа при 25 °C; 1-метоксипропан-2-ол: 1,56 кПа при 25 °C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Плотность или относительная плотность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Ок. 810 кг/м³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Относительная плотность паров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Пары тяжелее воздуха (относительная плотность паров этанола: 1,6; пропан-2-ола: 2; 1-метоксипропан-2-ола: 3,12)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Характеристика частиц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применимо (жидкость)</w:t>
            </w:r>
          </w:p>
        </w:tc>
      </w:tr>
    </w:tbl>
    <w:p>
      <w:pPr>
        <w:spacing w:after="8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9.2. Прочая информация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691"/>
        <w:gridCol w:w="6855"/>
      </w:tblGrid>
      <w:tr>
        <w:trPr>
          <w:tblHeader/>
        </w:trP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Свойство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Значение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Содержание органических растворителей (ЛОС)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Максимум 750 г/л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Взрывчатые свойства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У продукта не установлены; 1-метоксипропан-2-ол, как и другие эфиры, может образовывать взрывоопасные пероксиды при длительном хранении на свету; пары спиртов могут образовывать взрывоопасные смеси с воздухом</w:t>
            </w:r>
          </w:p>
        </w:tc>
      </w:tr>
      <w:tr>
        <w:tc>
          <w:tcPr>
            <w:tcW w:type="dxa" w:w="3691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Окислительные свойства</w:t>
            </w:r>
          </w:p>
        </w:tc>
        <w:tc>
          <w:tcPr>
            <w:tcW w:type="dxa" w:w="6855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Отсутствуют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/>
          <w:iCs/>
          <w:sz w:val="18"/>
          <w:szCs w:val="18"/>
        </w:rPr>
        <w:t xml:space="preserve">Приведённые выше физические данные являются лишь типовыми величинами и не должны интерпретироваться как спецификация.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10.1. Реакционная способность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Бурно реагирует с сильными окислителями, крепкими кислотами, щелочными металлами и их оксидами, а также с прочими веществами, перечисленными в подразделе 10.5.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хранении, а также при контакте с воздухом и влагой могут образовываться взрывоопасные пероксиды.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10.2. Химическая стабильность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Вещество стабильно в рекомендуемых условиях применения и хранения.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10.3. Возможность опасных реакций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Сильные окислители, крепкие кислоты, щелочные металлы и их оксиды (возможность бурных реакций с указанными веществами; кроме того, при реакции с щелочными металлами образуется горючий газ — водород, образующий взрывоопасные смеси с воздухом).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Смеси паров продукта с воздухом могут быть горючими и/или взрывоопасными (см. раздел 9); опасность создают пустые, но неочищенные от остатков продукта ёмкости, в которых могут образовываться такие смеси с воздухом.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длительном хранении на свету могут образовываться взрывоопасные пероксиды (см. раздел 9).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10.4. Условия, которых следует избегать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Избегать высоких температур, источников воспламенения (например, искр, искрящих инструментов и устройств, открытого огня, электростатических разрядов), горячих поверхностей, прямого действия солнечных лучей.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Избегать распыления жидкости и образования смесей паров с воздухом (могут обладать взрывоопасными свойствами — см. раздел 9).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Избегать хранения на свету.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Избегать избыточного контакта с воздухом и кислородом.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Избегать влаги.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10.5. Несовместимые материалы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Сильные окислители, крепкие кислоты (например, азотная, хромовая), крепкие основания.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Щелочные металлы и их оксиды.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Алюминий (при температуре выше 50 °C).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Железо.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Пероксиды, перхлораты.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Амины.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Легковоспламеняющиеся вещества.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Может растворять некоторые пластмассы.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10.6. Опасные продукты разложения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пожаре образуются, в частности, оксид углерода и диоксид углерода, органические продукты частичного разложения.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11: ТОКСИКОЛОГИЧЕСКАЯ ИНФОРМАЦИЯ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11.1. Информация о классах опасности, определённых в Регламенте (ЕС) № 1272/2008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Токсикологические испытания для описываемого продукта не проводились. Оценка токсичности выполнена на основании данных для компонентов смеси.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a) острая токсичность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 (расчётный метод). Ни один из компонентов, перечисленных в разделе 3, не классифицирован по признаку острой токсичности.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Симптомы отравления через пищеварительный тракт включают раздражение слизистых оболочек полости рта, горла и дальнейших отделов пищеварительного тракта (тошнота, рвота, диарея, боли в животе), а также симптомы наркотического действия (сходные с алкогольным опьянением, боли и головокружение, сонливость). При сильном алкогольном отравлении может возникнуть денатурация крови.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Токсичные дозы и концентрации для животных: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Этанол: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LD50 (крыса, внутрижелудочно) 7060 мг/кг м. 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LD50 (кролик, кожа) 15800 мг/кг м. 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LC50 (крыса, ингаляция) 115,9–133,8 мг/дм³/4 ч, 20000 ppm/10 ч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LC50 (мышь, ингаляция) 139 мг/дм³/4 ч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Пропан-2-ол: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LD50 (крыса, внутрижелудочно) 5840 мг/кг м. 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LD50 (кролик, кожа) 13900 мг/кг м. 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LC50 (крыса, ингаляция) &gt; 25 мг/дм³/6 ч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1-Метоксипропан-2-ол: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LD50 (крыса, внутрижелудочно) &gt; 2000–5000 мг/кг м. 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LD50 (кролик, кожа) &gt; 2000 мг/кг м. т.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LC50 (крыса, ингаляция) &gt; 25 мг/дм³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Токсичные дозы и концентрации для человека: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данные по компонентам отсутствуют.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b) разъедание/раздражение кожи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соответствует критериям классификации CLP (расчётный метод). Ни один из компонентов не классифицирован как разъедающий/раздражающий кожу. При длительном или часто повторяющемся непосредственном контакте с кожей может возникнуть обезжиривание кожи, в крайних случаях в результате длительного, непрерывного контакта, особенно в окклюзионных условиях, может возникнуть химический ожог.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c) серьёзное повреждение глаз/раздражение глаз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классифицирована по действию, раздражающему глаза, к категории 2 (расчётный метод). Вызывает серьёзное раздражение глаз. Контакт с глазами вызывает раздражение, покраснение глаз, слезотечение.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d) сенсибилизирующее действие на дыхательные пути или кожу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 (расчётный метод). Ни один из компонентов не классифицирован как сенсибилизирующий.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e) мутагенное действие на клетки зародышевой линии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 (расчётный метод). Ни один из компонентов не классифицирован как мутагенный.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f) канцерогенное действие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 (расчётный метод). Ни один из компонентов не классифицирован как канцерогенный.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g) вредное воздействие на репродуктивную функцию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 (расчётный метод). Ни один из компонентов не классифицирован как оказывающий вредное действие на репродуктивную функцию.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h) специфическая токсичность на органы-мишени — однократное воздействие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классифицирована по категории 3 (расчётный метод). Может вызывать сонливость или головокружение.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 ингаляционном воздействии паров/аэрозолей продукта в высоких концентрациях могут возникнуть боли и головокружение, чувство слабости, сонливость, тошнота, раздражение глаз, а также симптомы, связанные с раздражающим действием на дыхательные пути, незначительной интенсивности (кашель, чувство жжения в горле и в носу, поверхностное дыхание). При ещё более высоких концентрациях может возникнуть угнетение центральной нервной системы, нарушения сознания.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i) специфическая токсичность на органы-мишени — повторное воздействие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 (расчётный метод). Ни один из компонентов не классифицирован по STOT RE.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j) опасность при аспирации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требует классификации (расчётный метод).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Пути воздействия: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глаза, кожа, дыхательная система, пищеварительный тракт.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11.2. Информация о прочих опасностях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Свойства эндокринных разрушителей: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смесь не содержит компонентов, внесённых в перечень, установленный согласно ст. 59 п. 1 Регламента (ЕС) № 1907/2006 (REACH), как обладающие свойствами эндокринных разрушителей, а также веществ со свойствами, нарушающими функционирование эндокринной системы, согласно критериям, определённым делегированным регламентом Комиссии (ЕС) 2017/2100 или регламентом Комиссии (ЕС) 2018/605, в концентрациях 0,1 % или более, а также компонентов, классифицированных как вещества, нарушающие функционирование эндокринной системы, в отношении здоровья человека.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12: ЭКОЛОГИЧЕСКАЯ ИНФОРМАЦИЯ</w:t>
            </w:r>
          </w:p>
        </w:tc>
      </w:tr>
    </w:tbl>
    <w:p>
      <w:pPr>
        <w:spacing w:after="60" w:before="0"/>
      </w:pP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Согласно действующим нормативным актам (раздел 15) ни один из компонентов продукта, перечисленных в разделе 3, ни сам продукт не классифицированы как представляющие опасность для водной среды.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12.1. Токсичность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Этанол: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Токсичность для рыб (Oncorhynchus mykiss): LC50 12900–15300 мг/л/96 ч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Острая токсичность для бактерий (Pseudomonas putida): 6500 мг/л/16 ч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Пропан-2-ол: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Острая токсичность для рыб (Pimephales promelas): LC50 9640 мг/л/96 ч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Острая токсичность для ракообразных (Daphnia magna): EC50 10000 мг/л/48 ч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Острая токсичность для водорослей: EC50 1800 мг/л/7 дней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Острая токсичность для растений: IC50 2104 мг/л/3 дня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1-Метоксипропан-2-ол: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Острая токсичность для рыб (Leucidus idus): LC50 6812 мг/л/96 ч; (Oncorhynchus mykiss): LC50 ≥ 1000 мг/л/96 ч; (Pimephales promelas): LC50 20800 мг/л/96 ч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Острая токсичность для ракообразных (Daphnia magna): EC50 23300 мг/л/48 ч; 21100–25900 мг/л/48 ч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Острая токсичность для водорослей (Pseudokirchneriella subcapitata): EC50 &gt; 1000 мг/л (7 дней)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Острая токсичность для бактерий: IC50 1000 мг/л/3 ч (активный ил)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12.2. Стойкость и способность к разложению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Легко биоразлагаемо. 1-Метоксипропан-2-ол: биоразлагаемость ок. 96 %.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12.3. Способность к биоаккумуляции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Оценено, что потенциал биоаккумуляции компонентов продукта мал (log Kow &lt; 1). Пропан-2-ол: log Kow &lt; 1. 1-Метоксипропан-2-ол: log Kow 0,37.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12.4. Подвижность в почве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Продукт легко растворим в воде, легко проникает в почву. Потенциал миграции 1-метоксипропан-2-ола в почве оценён как очень высокий (log Koc 0,2–1). Этанол и пропан-2-ол быстро испаряются.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12.5. Результаты оценки свойств PBT и vPvB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Компоненты не квалифицированы как СБТ (PBT) или оСБсБ (vPvB).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12.6. Свойства эндокринных разрушителей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Смесь не содержит компонентов, внесённых в перечень, установленный согласно ст. 59 п. 1 Регламента (ЕС) № 1907/2006 (REACH), как обладающие свойствами эндокринных разрушителей, а также веществ со свойствами, нарушающими функционирование эндокринной системы, согласно критериям, определённым делегированным регламентом Комиссии (ЕС) 2017/2100 или регламентом Комиссии (ЕС) 2018/605, в концентрациях 0,1 % или более, а также веществ, классифицированных как нарушающие функционирование эндокринной системы, в отношении окружающей среды.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12.7. Прочие неблагоприятные последствия воздействия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Доступная информация отсутствует.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13: РЕКОМЕНДАЦИИ ПО УТИЛИЗАЦИИ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13.1. Методы обезвреживания отходов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Ликвидацию собранных отходов проводить в соответствии с действующими нормативными актами (см. также раздел 15). Утилизация настоящего продукта или производных продуктов должна в каждом случае соответствовать требованиям охраны окружающей среды и законодательства, связанного с утилизацией отходов, а также требованиям местных органов власти.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удалять в канализацию, в водоёмы и в почву. Не удалять с бытовыми отходами.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Продукт: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утилизировать путём контролируемого сжигания в соответствующих, приспособленных для этой цели установках на авторизованном мусоросжигательном заводе. Внимание: продукт легковоспламеняющийся, образует горючие и взрывоопасные смеси паров с воздухом.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Не удалять в канализацию, в водоёмы и в почву.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Классификация отходов согласно Европейскому каталогу отходов (EWC):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Отходы классифицируются по источнику их образования, поэтому код отхода может изменяться в зависимости от способа и места образования отхода. Конкретный код отхода следует присваивать с учётом места и способа образования отхода, а также его свойств, согласно перечисленным ниже нормативным актам. Символ * означает, что отход рассматривается как опасный.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08 04 09* — отходы клеёв и герметиков, содержащие органические растворители или другие опасные вещества.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Неочищенная упаковка: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является опасным отходом. Внимание: продукт легковоспламеняющийся, образует горючие и взрывоопасные смеси паров с воздухом, пожарную опасность могут создавать остатки в ёмкостях; не резать, не сверлить отверстия, не сваривать и не сплющивать опорожнённые ёмкости, не выполнять такого рода работы также вблизи них. Очистка и нейтрализация остатков — см. раздел 6. Восстановление, рециклинг или ликвидацию упаковочных отходов, образующихся в сфере профессиональной деятельности, проводить в соответствии с действующими нормативными актами. Утилизация транспортных ёмкостей или иных резервуаров и загрязнённого оборудования должна проводиться уполномоченными лицами способом, не создающим угроз для окружающей среды.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Классификация отходов согласно Европейскому каталогу отходов (EWC):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15 01 10* — упаковка, содержащая остатки опасных веществ или загрязнённая ими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Ссылки на нормативные акты Сообщества / национальные нормативные акты: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Закон от 14 декабря 2012 г. об отходах (сводный текст Dz.U. 2023 поз. 1587 с последующими изменениями) — имплементация, в частности, директив 94/32/EC, 2000/76/EC, 2008/98/EC и 2010/75/EC.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Закон от 13 июня 2013 г. об обращении с упаковкой и упаковочными отходами (сводный текст Dz.U. 2024 поз. 927 с изменениями) — имплементация директивы 94/62/EC с последующими изменениями.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Регламент Комиссии (ЕС) № 1357/2014 от 18 декабря 2014 г., заменяющий Приложение III к директиве Европейского парламента и Совета 2008/98/EC об отходах и отменяющей некоторые директивы (Официальный журнал L 365 от 19.12.2014, стр. 89–96).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Регламент Совета (ЕС) 2017/997 от 8 июня 2017 г., изменяющий Приложение III к директиве Европейского парламента и Совета 2008/98/EC в отношении опасного свойства HP 14 «Экотоксично» (Официальный журнал L 150 от 14.06.2017, стр. 1–4).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климата от 2 января 2020 г. о каталоге отходов (Dz.U. 2020 поз. 10) — имплементация решения Комиссии 2000/532/EC с последующими изменениями (в том числе 2001/118/EC).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См. также раздел 15.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14: ТРАНСПОРТНАЯ ИНФОРМАЦИЯ</w:t>
            </w:r>
          </w:p>
        </w:tc>
      </w:tr>
    </w:tbl>
    <w:p>
      <w:pPr>
        <w:spacing w:after="60" w:before="0"/>
      </w:pP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4746"/>
        <w:gridCol w:w="5800"/>
      </w:tblGrid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14.1. Номер ООН (UN) или идентификационный номер ID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1170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14.2. Надлежащее транспортное наименование ООН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ЭТАНОЛ В РАСТВОРЕ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14.3. Класс(-ы) опасности при транспортировании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3 (классификационный код F1, номер опасности 33, код ограничения проезда через тоннели D/E, знак опасности № 3)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14.4. Группа упаковки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II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14.5. Опасность для окружающей среды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представляет опасности для окружающей среды согласно критериям, содержащимся в Типовых правилах ООН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14.6. Специальные меры предосторожности для пользователя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определены</w:t>
            </w:r>
          </w:p>
        </w:tc>
      </w:tr>
      <w:tr>
        <w:tc>
          <w:tcPr>
            <w:tcW w:type="dxa" w:w="474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14.7. Морская перевозка навалом/наливом согласно документам ИМО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Не применимо — не перевозится навалом/наливом</w:t>
            </w:r>
          </w:p>
        </w:tc>
      </w:tr>
    </w:tbl>
    <w:p>
      <w:pPr>
        <w:spacing w:after="80" w:before="0"/>
      </w:pP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15: НОРМАТИВНАЯ ИНФОРМАЦИЯ</w:t>
            </w:r>
          </w:p>
        </w:tc>
      </w:tr>
    </w:tbl>
    <w:p>
      <w:pPr>
        <w:spacing w:after="60" w:before="0"/>
      </w:pP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15.1. Нормативные акты по безопасности, охране здоровья и защите окружающей среды, специфичные для вещества или смеси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Ограничения согласно Приложению XVII Регламента REACH: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Для конкретных компонентов продукта ограничения не определены. Смесь подпадает под ограничения ввиду её классификации: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Легковоспламеняющиеся жидкости и раздражающие вещества подпадают под ограничения, определённые в п. 3 Приложения XVII, — в частности, не могут применяться в декоративных изделиях, предназначенных для создания световых или цветовых эффектов посредством различных фаз, например в декоративных лампах и пепельницах; в шутках и розыгрышах; в играх, предназначенных для одного или нескольких участников, либо в изделиях, которые должны использоваться как таковые, даже в декоративных целях.</w:t>
      </w:r>
    </w:p>
    <w:p>
      <w:pPr>
        <w:pStyle w:val="ListParagraph"/>
        <w:numPr>
          <w:ilvl w:val="0"/>
          <w:numId w:val="2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Легковоспламеняющиеся жидкости подпадают под ограничения, определённые в п. 40 Приложения XVII, — не применяются в качестве веществ или в составе смесей в аэрозольных дозаторах, если такие дозаторы предназначены для массовой продажи в развлекательных и декоративных целях.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Постановление Совета Министров от 19 июня 2023 г. о перечне работ, запрещённых несовершеннолетним, и условиях их привлечения к некоторым из этих работ (Dz.U. 2023 поз. 1240):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Работы в условиях воздействия смеси включены в перечень работ, запрещённых несовершеннолетним.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Постановление Совета Министров от 19 апреля 2017 г. о перечне работ, обременительных, опасных или вредных для здоровья беременных женщин или женщин, кормящих ребёнка грудью (Dz.U. 2017 поз. 796):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Работы в условиях воздействия органических растворителей, если их концентрации в производственной среде превышают значения 1/3 предельно допустимых концентраций, определённых в нормативных актах о предельно допустимых концентрациях и интенсивностях вредных для здоровья факторов в производственной среде, включены в вышеуказанный перечень.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Категория Seveso: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P5c ЛЕГКОВОСПЛАМЕНЯЮЩИЕСЯ ЖИДКОСТИ.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Легковоспламеняющиеся жидкости категории 2 указаны в таблице 1 приложения к постановлению Министра развития от 29 января 2016 г. о видах и количествах находящихся на предприятии опасных веществ, определяющих отнесение предприятия к предприятию повышенного или высокого риска возникновения крупной промышленной аварии (Dz.U. 2016 поз. 138), имплементирующему Директиву Европейского парламента и Совета 2012/18/EU от 4 июля 2012 г. о контроле опасностей, связанных с крупными авариями, при участии опасных веществ, так называемую директиву Seveso III (Официальный журнал L 197 от 24.07.2012, стр. 1, с последующими изменениями) — количество легковоспламеняющейся жидкости P5c, определяющее отнесение к предприятию повышенного риска, составляет 5000 Мг, а к предприятию высокого риска — 50000 Мг. Внимание: категория Seveso и указанные предельные количества изменяются, если жидкости хранятся при температуре выше температуры кипения, а также если особые условия процесса могут представлять угрозу крупных аварий (высокое давление, температура).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Регламент (ЕС) № 1272/2008 Европейского парламента и Совета от 16 декабря 2008 г. о классификации, маркировке и упаковке веществ и смесей</w:t>
      </w: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 (Официальный журнал ЕС L 353 от 31.12.2008, стр. 1, с последующими изменениями):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Упаковка смеси, поставляемой широкой публике, должна быть снабжена ощутимым на ощупь предупреждением об опасности независимо от её ёмкости.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Прочие нормативные акты: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Регламент (ЕС) № 1907/2006 Европейского парламента и Совета от 18 декабря 2006 г. о регистрации, оценке, выдаче разрешений и применяемых ограничениях в отношении химических веществ (REACH), учреждении Европейского химического агентства, изменяющий директиву 1999/45/EC и отменяющий регламент Совета (ЕЭС) № 793/93 и регламент Комиссии (ЕС) № 1488/94, а также директиву Совета 76/769/EEC и директивы Комиссии 91/155/EEC, 93/67/EEC, 93/105/EC и 2000/21/EC (в исправленной редакции, Официальный журнал ЕС L 136 от 29.05.2007, стр. 3, с последующими изменениями).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Регламент Комиссии (ЕС) № 2020/878 от 18 июня 2020 г., изменяющий Приложение II к Регламенту REACH (Официальный журнал L 203 от 26.06.2020, стр. 28).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Регламент (ЕС) № 1272/2008 Европейского парламента и Совета от 16 декабря 2008 г. о классификации, маркировке и упаковке веществ и смесей (см. выше).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Регламент (ЕС) № 2016/425 Европейского парламента и Совета от 9 марта 2016 г. о средствах индивидуальной защиты и отмене директивы 89/686/EEC (Официальный журнал ЕС L 81 от 31.03.2016, стр. 51).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Закон Республики Польша от 25 февраля 2011 г. о химических веществах и их смесях (Dz.U. 2022 поз. 1816).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труда и социальной политики от 26 сентября 1997 г. об общих правилах безопасности и гигиены труда (Dz.U. № 169/2003 поз. 1650 с последующими изменениями, в том числе 2021 г. поз. 2088).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здравоохранения от 30 декабря 2004 г. о безопасности и гигиене труда, связанной с присутствием на рабочем месте химических факторов (Dz.U. 2016 поз. 1488 с изменениями).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экономики от 8 июля 2010 г. о минимальных требованиях по безопасности и гигиене труда, связанных с возможностью возникновения на рабочем месте взрывоопасной атмосферы (Dz.U. № 138/2010 поз. 931).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экономики и труда от 27 июля 2004 г. об обучении в области безопасности и гигиены труда (Dz.U. 2024 поз. 1327).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здравоохранения от 25 августа 2015 г. о способе обозначения мест, трубопроводов, а также ёмкостей и резервуаров, служащих для хранения или содержащих вещества, представляющие опасность, или смеси, представляющие опасность (Dz.U. 2015 поз. 1368).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семьи, труда и социальной политики от 12 июня 2018 г. о предельно допустимых концентрациях и интенсивностях вредных для здоровья факторов в производственной среде (Dz.U. 2018 поз. 1286 с последующими изменениями).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здравоохранения от 2 февраля 2011 г. об исследованиях и измерениях вредных для здоровья факторов в производственной среде (Dz.U. 2023 поз. 419 с изменениями).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здравоохранения и социального обеспечения от 30 мая 1996 г. о проведении медицинских осмотров работников, объёме профилактического медицинского обслуживания работников и врачебных заключениях, выдаваемых для целей, предусмотренных Трудовым кодексом (Dz.U. 2023 поз. 607).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здравоохранения от 26 июля 2024 г. о химических веществах, их смесях, факторах или технологических процессах канцерогенного, мутагенного или репротоксического действия в производственной среде (Dz.U. 2024 поз. 1126).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экономики от 29 января 2016 г. о видах и количествах находящихся на предприятии опасных веществ, определяющих отнесение предприятия к предприятию повышенного или высокого риска возникновения крупной промышленной аварии (Dz.U. 2016 поз. 138) — имплементация директивы 2012/18/EU, так называемой директивы Seveso III.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окружающей среды от 24 августа 2012 г. об уровнях некоторых веществ в воздухе (Dz.U. 2021 поз. 845) — имплементация директив 2004/107/EC и 2008/50/EC.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окружающей среды от 26 января 2010 г. о референсных значениях для некоторых веществ в воздухе (Dz.U. № 16/2010 поз. 87).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развития от 8 августа 2016 г. об ограничении выбросов летучих органических соединений, содержащихся в некоторых красках и лаках, предназначенных для окраски зданий и их отделочных и оснащающих элементов, а также связанных со зданиями и этими элементами конструкций, и в смесях для обновления транспортных средств (Dz.U. 2016 поз. 1353).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строительства от 14 июля 2006 г. о способе выполнения обязанностей поставщиками промышленных сточных вод и условиях сброса сточных вод в канализационные устройства (Dz.U. 2016 поз. 1757).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морского хозяйства и внутреннего судоходства от 12 июля 2019 г. о веществах, особо вредных для водной среды, и условиях, которые следует выполнять при сбросе в воды или в грунт сточных вод, а также при отведении ливневых или талых вод в воды или в водные устройства (Dz.U. 2019 поз. 1311) — имплементация директив 91/271/EEC и 2010/75/EU.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Закон от 14 декабря 2012 г. об отходах (Dz.U. 2023 поз. 1587 с последующими изменениями) — имплементация, в частности, директив 99/31/EC, 94/62/EC, 2008/98/EC, 2010/75/EU и 2012/19/EU, а также Регламента Комиссии (ЕС) № 1357/2014.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Закон от 13 июня 2013 г. об обращении с упаковкой и упаковочными отходами (Dz.U. 2024 поз. 927 с последующими изменениями) — имплементация, в частности, директивы 94/62/EC с последующими изменениями.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Постановление Министра климата от 2 января 2020 г. о каталоге отходов (Dz.U. 2020 поз. 10) — имплементация решения Комиссии 2000/532/EC с последующими изменениями.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Правительственное заявление от 13 марта 2023 г. о вступлении в силу изменений к приложениям A и B к Европейскому соглашению о международной дорожной перевозке опасных грузов (ADR), составленному в Женеве 30 сентября 1957 г. (Dz.U. 2023 поз. 891).</w:t>
      </w:r>
    </w:p>
    <w:p>
      <w:pPr>
        <w:pStyle w:val="ListParagraph"/>
        <w:numPr>
          <w:ilvl w:val="0"/>
          <w:numId w:val="3"/>
        </w:numPr>
        <w:spacing w:after="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6"/>
          <w:szCs w:val="16"/>
        </w:rPr>
        <w:t xml:space="preserve">Правительственное заявление от 13 марта 2023 г. о вступлении в силу изменений к Регламенту о международной перевозке опасных грузов по железным дорогам (RID), составляющему приложение C к Конвенции о международных железнодорожных перевозках (COTIF), составленной в Берне 9 мая 1980 г. (Dz.U. 2023 поз. 789).</w:t>
      </w:r>
    </w:p>
    <w:p>
      <w:pPr>
        <w:spacing w:after="40" w:before="14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15.2. Оценка химической безопасности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Согласно информации поставщиков сырья, оценка химической безопасности выполнена для растворителей, содержащихся в продукте.</w:t>
      </w:r>
    </w:p>
    <w:p>
      <w:pPr>
        <w:spacing w:after="140" w:before="0"/>
      </w:pPr>
    </w:p>
    <w:tbl>
      <w:tblPr>
        <w:tblW w:type="dxa" w:w="10546"/>
        <w:tblBorders>
          <w:top w:val="single" w:color="1F3864" w:sz="4"/>
          <w:left w:val="single" w:color="1F3864" w:sz="4"/>
          <w:bottom w:val="single" w:color="1F3864" w:sz="4"/>
          <w:right w:val="single" w:color="1F3864" w:sz="4"/>
          <w:insideH w:val="single" w:color="auto" w:sz="4"/>
          <w:insideV w:val="single" w:color="auto" w:sz="4"/>
        </w:tblBorders>
      </w:tblPr>
      <w:tblGrid>
        <w:gridCol w:w="10546"/>
      </w:tblGrid>
      <w:tr>
        <w:tc>
          <w:tcPr>
            <w:tcW w:type="dxa" w:w="10546"/>
            <w:shd w:fill="1F3864" w:color="auto" w:val="clear"/>
            <w:tcMar>
              <w:top w:type="dxa" w:w="60"/>
              <w:left w:type="dxa" w:w="110"/>
              <w:bottom w:type="dxa" w:w="60"/>
              <w:right w:type="dxa" w:w="11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РАЗДЕЛ 16: ПРОЧАЯ ИНФОРМАЦИЯ</w:t>
            </w:r>
          </w:p>
        </w:tc>
      </w:tr>
    </w:tbl>
    <w:p>
      <w:pPr>
        <w:spacing w:after="60" w:before="0"/>
      </w:pP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a) актуализация паспорта охватывает следующие изменения: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Приведение в соответствие с требованиями регламента 2020/878 и общая актуализация (разделы 1–16).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Введение кода UFI, актуализация области применения и видов применения, которые не рекомендуются (раздел 1).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Актуализация требований к маркировке, включая дополнение P-фраз (раздел 2).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Актуализация состава и информации о компонентах (раздел 3).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Актуализация значений DNEL (раздел 8) и физических и химических свойств (раздел 9), а также информации в разделе 10.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Актуализация норм и нормативных актов и связанных с ними требований (разделы 8, 13, 15).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Актуализация информации об ограничениях согласно Регламенту REACH и прочих нормативных актов (раздел 15).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b) расшифровка сокращений и акронимов: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2320"/>
        <w:gridCol w:w="8226"/>
      </w:tblGrid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NDS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предельно допустимая концентрация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NDSCh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предельно допустимая концентрация кратковременного воздействия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DSB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допустимая концентрация в биологическом материале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IOELv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индикативный допустимый уровень профессионального воздействия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LC50 (CL50) / LD50 (DL50)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медиана смертельной концентрации / смертельной дозы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LC100 (CL100) / LD100 (DL100)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концентрация/доза, вызывающая гибель 100 % исследуемой популяции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EC10 / LC10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концентрация, вызывающая эффект / смертельная концентрация для 10 % исследуемой популяции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EC50 / IC50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концентрация, вызывающая эффект у 50 % исследуемой популяции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ErC50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концентрация, вызывающая эффект (снижение скорости роста) для 50 % исследуемой популяции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NOEL(C)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уровень (концентрация) без наблюдаемого действия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NOELR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уровень без наблюдаемого действия показателя нагрузки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NOAEL(C)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уровень (концентрация) без наблюдаемого вредного действия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LOAEL(C)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наименьший уровень (концентрация), при котором наблюдается вредное действие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LDL0 / LCL0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наименьшая смертельная доза (концентрация)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DL0 / CL0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доза (концентрация), не вызывающая гибели в исследуемой популяции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PNEC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прогнозируемая концентрация, не вызывающая изменений в окружающей среде (Predicted No Effect Concentration)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DNEL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производный уровень, не вызывающий изменений (Derived No Effect Level)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PBT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СБТ — стойкое, биоаккумулятивное и токсичное вещество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vPvB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оСБсБ — очень стойкое и очень биоаккумулятивное вещество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log Pow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логарифм коэффициента распределения октанол — вода</w:t>
            </w:r>
          </w:p>
        </w:tc>
      </w:tr>
      <w:tr>
        <w:tc>
          <w:tcPr>
            <w:tcW w:type="dxa" w:w="232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log Koc</w:t>
            </w:r>
          </w:p>
        </w:tc>
        <w:tc>
          <w:tcPr>
            <w:tcW w:type="dxa" w:w="822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логарифм коэффициента распределения органический углерод — вода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c) ссылки на ключевую литературу и источники данных: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Паспорт разработан на основании паспортов безопасности сырья, составленных поставщиками, информации с сайта Европейского химического агентства (ECHA), а также действующих в Польше нормативных актов, касающихся химических веществ и их смесей.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d) метод классификации смеси: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Классификация продукта по опасностям для здоровья и окружающей среды выполнена расчётным методом на основании предельных концентраций компонентов, представляющих опасность, в смеси. При классификации по физико-химическим свойствам учтена информация о физических свойствах компонентов и смеси.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e) перечень символов, указывающих класс и категорию опасности, и H-фраз, приведённых в разделах 2 и 3 паспорта безопасности, с их полной формулировкой:</w:t>
      </w:r>
    </w:p>
    <w:tbl>
      <w:tblPr>
        <w:tblW w:type="dxa" w:w="1054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2109"/>
        <w:gridCol w:w="8437"/>
      </w:tblGrid>
      <w:tr>
        <w:trPr>
          <w:tblHeader/>
        </w:trP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Код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i w:val="false"/>
                <w:iCs w:val="false"/>
                <w:sz w:val="16"/>
                <w:szCs w:val="16"/>
              </w:rPr>
              <w:t xml:space="preserve">Полная формулировка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Flam. Liq. 2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Легковоспламеняющиеся жидкости, категория 2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H225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Легковоспламеняющаяся жидкость и пары.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Flam. Liq. 3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Легковоспламеняющиеся жидкости, категория 3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H226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Горючая жидкость и пары.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Eye Irrit. 2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Действие, раздражающее глаза, категория 2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H319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Вызывает серьёзное раздражение глаз.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STOT SE 3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Специфическая токсичность на органы-мишени (однократное воздействие), категория 3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H336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Может вызывать сонливость и головокружение.</w:t>
            </w:r>
          </w:p>
        </w:tc>
      </w:tr>
      <w:tr>
        <w:tc>
          <w:tcPr>
            <w:tcW w:type="dxa" w:w="2109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EUH066</w:t>
            </w:r>
          </w:p>
        </w:tc>
        <w:tc>
          <w:tcPr>
            <w:tcW w:type="dxa" w:w="8437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50"/>
              <w:left w:type="dxa" w:w="90"/>
              <w:bottom w:type="dxa" w:w="50"/>
              <w:right w:type="dxa" w:w="90"/>
            </w:tcMar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 w:val="false"/>
                <w:bCs w:val="false"/>
                <w:i w:val="false"/>
                <w:iCs w:val="false"/>
                <w:sz w:val="16"/>
                <w:szCs w:val="16"/>
              </w:rPr>
              <w:t xml:space="preserve">Повторное воздействие может вызывать сухость или растрескивание кожи.</w:t>
            </w:r>
          </w:p>
        </w:tc>
      </w:tr>
    </w:tbl>
    <w:p>
      <w:pPr>
        <w:spacing w:after="80" w:before="0"/>
      </w:pP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f) рекомендации относительно необходимого обучения работников в целях обеспечения охраны здоровья человека и окружающей среды: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Работодатель обязан проинформировать работников, имеющих контакт с продуктом, об опасностях и средствах индивидуальной защиты, перечисленных в настоящем паспорте безопасности. Перед началом работы с продуктом пользователь должен ознакомиться с правилами охраны труда при работе с химикатами, и в частности пройти соответствующее обучение на рабочем месте; обучение по охране труда проводить в соответствии с действующими нормативными актами — раздел 15.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Водители транспортных средств должны пройти обучение и получить соответствующее свидетельство согласно требованиям правил ADR.</w:t>
      </w:r>
    </w:p>
    <w:p>
      <w:pPr>
        <w:spacing w:after="60" w:before="0"/>
      </w:pPr>
      <w:r>
        <w:rPr>
          <w:rFonts w:ascii="Calibri" w:cs="Calibri" w:eastAsia="Calibri" w:hAnsi="Calibri"/>
          <w:b/>
          <w:bCs/>
          <w:i w:val="false"/>
          <w:iCs w:val="false"/>
          <w:sz w:val="18"/>
          <w:szCs w:val="18"/>
        </w:rPr>
        <w:t xml:space="preserve">Дополнительная информация: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Приведённая выше информация разработана на основании текущего состояния знаний и относится к продукту в том виде, в котором он применяется. Данные, касающиеся этого продукта, представлены с целью учёта требований безопасности, а не гарантирования его особых свойств.</w:t>
      </w:r>
    </w:p>
    <w:p>
      <w:pPr>
        <w:spacing w:after="60" w:before="0"/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sz w:val="18"/>
          <w:szCs w:val="18"/>
        </w:rPr>
        <w:t xml:space="preserve">В случае если условия применения продукта не находятся под контролем производителя, ответственность за безопасное применение продукта несёт пользователь.</w:t>
      </w:r>
    </w:p>
    <w:p>
      <w:pPr>
        <w:spacing w:after="140" w:before="0"/>
      </w:pPr>
    </w:p>
    <w:sectPr>
      <w:pgSz w:w="11906" w:h="16838" w:orient="portrait"/>
      <w:pgMar w:top="680" w:right="680" w:bottom="680" w:left="680" w:header="708" w:footer="708" w:gutter="0"/>
      <w:pgBorders w:display="allPages" w:offsetFrom="page">
        <w:top w:val="single" w:color="8EA9DB" w:sz="6" w:space="20"/>
        <w:left w:val="single" w:color="8EA9DB" w:sz="6" w:space="20"/>
        <w:bottom w:val="single" w:color="8EA9DB" w:sz="6" w:space="20"/>
        <w:right w:val="single" w:color="8EA9DB" w:sz="6" w:space="20"/>
      </w:pgBorders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340" w:hanging="200"/>
      </w:pPr>
      <w:rPr>
        <w:rFonts w:ascii="Calibri" w:cs="Calibri" w:eastAsia="Calibri" w:hAnsi="Calibri"/>
        <w:sz w:val="16"/>
        <w:szCs w:val="16"/>
      </w:r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18"/>
        <w:szCs w:val="18"/>
      </w:rPr>
    </w:rPrDefault>
    <w:pPrDefault>
      <w:pPr>
        <w:spacing w:line="24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2026-07-29T09:03:17.533Z</dcterms:created>
  <dcterms:modified xsi:type="dcterms:W3CDTF">2026-07-29T09:03:17.547Z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