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0"/>
        <w:jc w:val="center"/>
      </w:pPr>
      <w:r>
        <w:rPr>
          <w:rFonts w:ascii="Calibri" w:cs="Calibri" w:eastAsia="Calibri" w:hAnsi="Calibri"/>
          <w:b/>
          <w:bCs/>
          <w:color w:val="1F3864"/>
          <w:sz w:val="40"/>
          <w:szCs w:val="40"/>
        </w:rPr>
        <w:t xml:space="preserve">Паспорт безопасности</w:t>
      </w:r>
    </w:p>
    <w:p>
      <w:pPr>
        <w:spacing w:after="120" w:before="0"/>
        <w:jc w:val="center"/>
      </w:pPr>
      <w:r>
        <w:rPr>
          <w:rFonts w:ascii="Calibri" w:cs="Calibri" w:eastAsia="Calibri" w:hAnsi="Calibri"/>
          <w:i/>
          <w:iCs/>
          <w:sz w:val="20"/>
          <w:szCs w:val="20"/>
        </w:rPr>
        <w:t xml:space="preserve">согласно 1907/2006/EC, Статья 31</w:t>
      </w:r>
    </w:p>
    <w:p>
      <w:pPr>
        <w:pBdr>
          <w:bottom w:val="single" w:color="1F3864" w:sz="8" w:space="6"/>
        </w:pBdr>
        <w:spacing w:after="120" w:before="0"/>
        <w:jc w:val="center"/>
      </w:pPr>
      <w:r>
        <w:rPr>
          <w:rFonts w:ascii="Calibri" w:cs="Calibri" w:eastAsia="Calibri" w:hAnsi="Calibri"/>
          <w:b/>
          <w:bCs/>
          <w:sz w:val="28"/>
          <w:szCs w:val="28"/>
        </w:rPr>
        <w:t xml:space="preserve">URETHANE 100 компонент A</w:t>
      </w:r>
    </w:p>
    <w:p>
      <w:pPr>
        <w:spacing w:after="20" w:before="0"/>
        <w:jc w:val="center"/>
      </w:pPr>
      <w:r>
        <w:rPr>
          <w:rFonts w:ascii="Calibri" w:cs="Calibri" w:eastAsia="Calibri" w:hAnsi="Calibri"/>
          <w:i/>
          <w:iCs/>
          <w:sz w:val="16"/>
          <w:szCs w:val="16"/>
        </w:rPr>
        <w:t xml:space="preserve">Паспорт безопасности соответствует образцу, установленному Регламентом (ЕС) № 2020/878</w:t>
      </w:r>
    </w:p>
    <w:p>
      <w:pPr>
        <w:spacing w:after="20" w:before="0"/>
        <w:jc w:val="center"/>
      </w:pPr>
      <w:r>
        <w:rPr>
          <w:rFonts w:ascii="Calibri" w:cs="Calibri" w:eastAsia="Calibri" w:hAnsi="Calibri"/>
          <w:i/>
          <w:iCs/>
          <w:sz w:val="16"/>
          <w:szCs w:val="16"/>
        </w:rPr>
        <w:t xml:space="preserve">Дата составления: 15.07.2013 г.  ·  Актуализация: 15.02.2024 г.  ·  версия 3.0.1.</w:t>
      </w:r>
    </w:p>
    <w:p>
      <w:pPr>
        <w:spacing w:after="12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 ИДЕНТИФИКАЦИЯ ВЕЩЕСТВА/СМЕСИ И СВЕДЕНИЯ О КОМПАНИИ</w:t>
            </w:r>
          </w:p>
        </w:tc>
      </w:tr>
    </w:tbl>
    <w:p>
      <w:pPr>
        <w:spacing w:after="60" w:before="0"/>
      </w:pPr>
    </w:p>
    <w:p>
      <w:pPr>
        <w:spacing w:after="40" w:before="140"/>
      </w:pPr>
      <w:r>
        <w:rPr>
          <w:rFonts w:ascii="Calibri" w:cs="Calibri" w:eastAsia="Calibri" w:hAnsi="Calibri"/>
          <w:b/>
          <w:bCs/>
          <w:i w:val="false"/>
          <w:iCs w:val="false"/>
          <w:sz w:val="18"/>
          <w:szCs w:val="18"/>
        </w:rPr>
        <w:t xml:space="preserve">1.1. Идентификатор продукта</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Торговое название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URETHANE 100 компонент A</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Компоненты согласно ст. 18 п. 3 подп. b</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bl>
    <w:p>
      <w:pPr>
        <w:spacing w:after="80" w:before="0"/>
      </w:pPr>
    </w:p>
    <w:p>
      <w:pPr>
        <w:spacing w:after="40" w:before="140"/>
      </w:pPr>
      <w:r>
        <w:rPr>
          <w:rFonts w:ascii="Calibri" w:cs="Calibri" w:eastAsia="Calibri" w:hAnsi="Calibri"/>
          <w:b/>
          <w:bCs/>
          <w:i w:val="false"/>
          <w:iCs w:val="false"/>
          <w:sz w:val="18"/>
          <w:szCs w:val="18"/>
        </w:rPr>
        <w:t xml:space="preserve">1.2. Соответствующие установленные виды применения вещества или смеси и виды применения, которые не рекомендуются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Применение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Масса — компонент двухкомпонентного полиуретанового клея для паркета, половой доски и деревянных панелей.</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Область применения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Только профессиональное применение — профессиональный пользователь.</w:t>
            </w:r>
          </w:p>
        </w:tc>
      </w:tr>
    </w:tbl>
    <w:p>
      <w:pPr>
        <w:spacing w:after="80" w:before="0"/>
      </w:pPr>
    </w:p>
    <w:p>
      <w:pPr>
        <w:spacing w:after="40" w:before="140"/>
      </w:pPr>
      <w:r>
        <w:rPr>
          <w:rFonts w:ascii="Calibri" w:cs="Calibri" w:eastAsia="Calibri" w:hAnsi="Calibri"/>
          <w:b/>
          <w:bCs/>
          <w:i w:val="false"/>
          <w:iCs w:val="false"/>
          <w:sz w:val="18"/>
          <w:szCs w:val="18"/>
        </w:rPr>
        <w:t xml:space="preserve">1.3. Данные о поставщике паспорта безопасности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 Sp. z o.o.</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Адрес</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Wola Pękoszewska 82a, 96-111 Kowiesy, Польша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телефона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факса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E-mail по вопросам паспорта безопасности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renove@renove.com.pl</w:t>
            </w:r>
          </w:p>
        </w:tc>
      </w:tr>
    </w:tbl>
    <w:p>
      <w:pPr>
        <w:spacing w:after="80" w:before="0"/>
      </w:pPr>
    </w:p>
    <w:p>
      <w:pPr>
        <w:spacing w:after="40" w:before="140"/>
      </w:pPr>
      <w:r>
        <w:rPr>
          <w:rFonts w:ascii="Calibri" w:cs="Calibri" w:eastAsia="Calibri" w:hAnsi="Calibri"/>
          <w:b/>
          <w:bCs/>
          <w:i w:val="false"/>
          <w:iCs w:val="false"/>
          <w:sz w:val="18"/>
          <w:szCs w:val="18"/>
        </w:rPr>
        <w:t xml:space="preserve">1.4. Номер телефона экстренной связи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Телефон экстренной связи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112</w:t>
            </w:r>
          </w:p>
          <w:p>
            <w:pPr>
              <w:spacing w:after="0" w:before="0"/>
            </w:pPr>
            <w:r>
              <w:rPr>
                <w:rFonts w:ascii="Calibri" w:cs="Calibri" w:eastAsia="Calibri" w:hAnsi="Calibri"/>
                <w:b w:val="false"/>
                <w:bCs w:val="false"/>
                <w:i w:val="false"/>
                <w:iCs w:val="false"/>
                <w:sz w:val="16"/>
                <w:szCs w:val="16"/>
              </w:rPr>
              <w:t xml:space="preserve">+42 631 74 14 (пн.–пт., 9:00–15:00)</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2: ИДЕНТИФИКАЦИЯ ОПАСНОСТИ</w:t>
            </w:r>
          </w:p>
        </w:tc>
      </w:tr>
    </w:tbl>
    <w:p>
      <w:pPr>
        <w:spacing w:after="60" w:before="0"/>
      </w:pPr>
    </w:p>
    <w:p>
      <w:pPr>
        <w:spacing w:after="40" w:before="140"/>
      </w:pPr>
      <w:r>
        <w:rPr>
          <w:rFonts w:ascii="Calibri" w:cs="Calibri" w:eastAsia="Calibri" w:hAnsi="Calibri"/>
          <w:b/>
          <w:bCs/>
          <w:i w:val="false"/>
          <w:iCs w:val="false"/>
          <w:sz w:val="18"/>
          <w:szCs w:val="18"/>
        </w:rPr>
        <w:t xml:space="preserve">2.1. Классификация вещества или смеси</w:t>
      </w:r>
    </w:p>
    <w:p>
      <w:pPr>
        <w:spacing w:after="60" w:before="0"/>
      </w:pPr>
      <w:r>
        <w:rPr>
          <w:rFonts w:ascii="Calibri" w:cs="Calibri" w:eastAsia="Calibri" w:hAnsi="Calibri"/>
          <w:b w:val="false"/>
          <w:bCs w:val="false"/>
          <w:i w:val="false"/>
          <w:iCs w:val="false"/>
          <w:sz w:val="18"/>
          <w:szCs w:val="18"/>
        </w:rPr>
        <w:t xml:space="preserve">Смесь не классифицирована как представляющая опасность согласно критериям Регламента (ЕС) № 1272/2008.</w:t>
      </w:r>
    </w:p>
    <w:p>
      <w:pPr>
        <w:spacing w:after="60" w:before="0"/>
      </w:pPr>
      <w:r>
        <w:rPr>
          <w:rFonts w:ascii="Calibri" w:cs="Calibri" w:eastAsia="Calibri" w:hAnsi="Calibri"/>
          <w:b/>
          <w:bCs/>
          <w:i w:val="false"/>
          <w:iCs w:val="false"/>
          <w:sz w:val="18"/>
          <w:szCs w:val="18"/>
        </w:rPr>
        <w:t xml:space="preserve">Опасности для человека, обусловленные токсичностью и анализом специфических последствий для здоровья человека:</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Опасности для окружающей среды:</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Опасности для человека и окружающей среды, обусловленные физико-химическими свойствами:</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40" w:before="140"/>
      </w:pPr>
      <w:r>
        <w:rPr>
          <w:rFonts w:ascii="Calibri" w:cs="Calibri" w:eastAsia="Calibri" w:hAnsi="Calibri"/>
          <w:b/>
          <w:bCs/>
          <w:i w:val="false"/>
          <w:iCs w:val="false"/>
          <w:sz w:val="18"/>
          <w:szCs w:val="18"/>
        </w:rPr>
        <w:t xml:space="preserve">2.2. Элементы маркировки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Пиктограмма(-ы)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Сигнальное слово</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требуется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H-фразы (указания на опасность)</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P-фразы (меры предосторожности)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Элементы маркировки согласно ст. 25 и ст. 32 Регламента (ЕС) № 1272/2008</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Компоненты, подлежащие указанию на маркировке согласно ст. 18 п. 3 подп. b Регламента (ЕС) № 1272/2008</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bl>
    <w:p>
      <w:pPr>
        <w:spacing w:after="80" w:before="0"/>
      </w:pPr>
    </w:p>
    <w:p>
      <w:pPr>
        <w:spacing w:after="40" w:before="140"/>
      </w:pPr>
      <w:r>
        <w:rPr>
          <w:rFonts w:ascii="Calibri" w:cs="Calibri" w:eastAsia="Calibri" w:hAnsi="Calibri"/>
          <w:b/>
          <w:bCs/>
          <w:i w:val="false"/>
          <w:iCs w:val="false"/>
          <w:sz w:val="18"/>
          <w:szCs w:val="18"/>
        </w:rPr>
        <w:t xml:space="preserve">2.3. Прочие опасности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Оценка PBT или vPvB согласно Приложению XIII REACH — ни один из компонентов не признан СБТ (PBT) или оСБсБ (vPvB) согласно действующим критериям.</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По информации поставщиков, ни один из компонентов не внесён в перечень, установленный согласно ст. 59 п. 1 REACH, как вещество, нарушающее функционирование эндокринной системы, и не признан таковым согласно критериям, определённым регламентами Комиссии (ЕС) № 2017/2100 или 2018/605.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контакте с кислотами продукт частично разлагается с выделением диоксида углерода.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Опасность поскользнуться на разлитом продукте — загрязнённые поверхности могут быть скользкими.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Внимание: настоящий паспорт относится только к компоненту A двухкомпонентного клея; при использовании обоих компонентов см. также паспорт безопасности компонента B.</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3: СОСТАВ / ИНФОРМАЦИЯ О КОМПОНЕНТАХ</w:t>
            </w:r>
          </w:p>
        </w:tc>
      </w:tr>
    </w:tbl>
    <w:p>
      <w:pPr>
        <w:spacing w:after="60" w:before="0"/>
      </w:pPr>
    </w:p>
    <w:p>
      <w:pPr>
        <w:spacing w:after="40" w:before="140"/>
      </w:pPr>
      <w:r>
        <w:rPr>
          <w:rFonts w:ascii="Calibri" w:cs="Calibri" w:eastAsia="Calibri" w:hAnsi="Calibri"/>
          <w:b/>
          <w:bCs/>
          <w:i w:val="false"/>
          <w:iCs w:val="false"/>
          <w:sz w:val="18"/>
          <w:szCs w:val="18"/>
        </w:rPr>
        <w:t xml:space="preserve">3.1. Вещества</w:t>
      </w:r>
    </w:p>
    <w:p>
      <w:pPr>
        <w:spacing w:after="60" w:before="0"/>
      </w:pPr>
      <w:r>
        <w:rPr>
          <w:rFonts w:ascii="Calibri" w:cs="Calibri" w:eastAsia="Calibri" w:hAnsi="Calibri"/>
          <w:b w:val="false"/>
          <w:bCs w:val="false"/>
          <w:i w:val="false"/>
          <w:iCs w:val="false"/>
          <w:sz w:val="18"/>
          <w:szCs w:val="18"/>
        </w:rPr>
        <w:t xml:space="preserve">Не применимо — продукт является смесью.</w:t>
      </w:r>
    </w:p>
    <w:p>
      <w:pPr>
        <w:spacing w:after="40" w:before="140"/>
      </w:pPr>
      <w:r>
        <w:rPr>
          <w:rFonts w:ascii="Calibri" w:cs="Calibri" w:eastAsia="Calibri" w:hAnsi="Calibri"/>
          <w:b/>
          <w:bCs/>
          <w:i w:val="false"/>
          <w:iCs w:val="false"/>
          <w:sz w:val="18"/>
          <w:szCs w:val="18"/>
        </w:rPr>
        <w:t xml:space="preserve">3.2. Смеси</w:t>
      </w:r>
    </w:p>
    <w:p>
      <w:pPr>
        <w:spacing w:after="60" w:before="0"/>
      </w:pPr>
      <w:r>
        <w:rPr>
          <w:rFonts w:ascii="Calibri" w:cs="Calibri" w:eastAsia="Calibri" w:hAnsi="Calibri"/>
          <w:b/>
          <w:bCs/>
          <w:i w:val="false"/>
          <w:iCs w:val="false"/>
          <w:sz w:val="18"/>
          <w:szCs w:val="18"/>
        </w:rPr>
        <w:t xml:space="preserve">Компоненты, представляющие опасность:</w:t>
      </w:r>
      <w:r>
        <w:rPr>
          <w:rFonts w:ascii="Calibri" w:cs="Calibri" w:eastAsia="Calibri" w:hAnsi="Calibri"/>
          <w:b w:val="false"/>
          <w:bCs w:val="false"/>
          <w:i w:val="false"/>
          <w:iCs w:val="false"/>
          <w:sz w:val="18"/>
          <w:szCs w:val="18"/>
        </w:rPr>
        <w:t xml:space="preserve"> не содержит.</w:t>
      </w:r>
    </w:p>
    <w:p>
      <w:pPr>
        <w:spacing w:after="60" w:before="0"/>
      </w:pPr>
      <w:r>
        <w:rPr>
          <w:rFonts w:ascii="Calibri" w:cs="Calibri" w:eastAsia="Calibri" w:hAnsi="Calibri"/>
          <w:b w:val="false"/>
          <w:bCs w:val="false"/>
          <w:i w:val="false"/>
          <w:iCs w:val="false"/>
          <w:sz w:val="18"/>
          <w:szCs w:val="18"/>
        </w:rPr>
        <w:t xml:space="preserve">Продукт представляет собой суспензию минеральных наполнителей и вспомогательных компонентов в маслах. Не содержит веществ: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классифицированных как представляющие опасность согласно критериям Регламента (ЕС) № 1272/2008;</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 установленными на уровне Сообщества предельно допустимыми концентрациями в воздухе рабочей зоны;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являющихся СБТ (PBT) или оСБсБ (vPvB);</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включённых в перечень SVHC по признаку нарушения функционирования эндокринной системы, а также веществ, признанных нарушающими функционирование эндокринной системы согласно критериям, определённым регламентами Комиссии (ЕС) № 2017/2100 или 2018/605.</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4: МЕРЫ ПЕРВОЙ ПОМОЩИ</w:t>
            </w:r>
          </w:p>
        </w:tc>
      </w:tr>
    </w:tbl>
    <w:p>
      <w:pPr>
        <w:spacing w:after="60" w:before="0"/>
      </w:pPr>
    </w:p>
    <w:p>
      <w:pPr>
        <w:spacing w:after="40" w:before="140"/>
      </w:pPr>
      <w:r>
        <w:rPr>
          <w:rFonts w:ascii="Calibri" w:cs="Calibri" w:eastAsia="Calibri" w:hAnsi="Calibri"/>
          <w:b/>
          <w:bCs/>
          <w:i w:val="false"/>
          <w:iCs w:val="false"/>
          <w:sz w:val="18"/>
          <w:szCs w:val="18"/>
        </w:rPr>
        <w:t xml:space="preserve">4.1. Описание мер первой помощи</w:t>
      </w:r>
    </w:p>
    <w:p>
      <w:pPr>
        <w:spacing w:after="60" w:before="0"/>
      </w:pPr>
      <w:r>
        <w:rPr>
          <w:rFonts w:ascii="Calibri" w:cs="Calibri" w:eastAsia="Calibri" w:hAnsi="Calibri"/>
          <w:b/>
          <w:bCs/>
          <w:i w:val="false"/>
          <w:iCs w:val="false"/>
          <w:sz w:val="18"/>
          <w:szCs w:val="18"/>
        </w:rPr>
        <w:t xml:space="preserve">Воздействие через дыхательные пути</w:t>
      </w:r>
    </w:p>
    <w:p>
      <w:pPr>
        <w:spacing w:after="60" w:before="0"/>
      </w:pPr>
      <w:r>
        <w:rPr>
          <w:rFonts w:ascii="Calibri" w:cs="Calibri" w:eastAsia="Calibri" w:hAnsi="Calibri"/>
          <w:b w:val="false"/>
          <w:bCs w:val="false"/>
          <w:i w:val="false"/>
          <w:iCs w:val="false"/>
          <w:sz w:val="18"/>
          <w:szCs w:val="18"/>
        </w:rPr>
        <w:t xml:space="preserve">Компонент A представляет собой маслянистую суспензию, и при нормальной работе ингаляционное воздействие практически невозможно. В случае вдыхания, например, пыли высохшего продукта, следует вывести пострадавшего на свежий воздух; при появлении симптомов раздражения дыхательных путей (кашель, затруднённое дыхание) обратиться к врачу.</w:t>
      </w:r>
    </w:p>
    <w:p>
      <w:pPr>
        <w:spacing w:after="60" w:before="0"/>
      </w:pPr>
      <w:r>
        <w:rPr>
          <w:rFonts w:ascii="Calibri" w:cs="Calibri" w:eastAsia="Calibri" w:hAnsi="Calibri"/>
          <w:b/>
          <w:bCs/>
          <w:i w:val="false"/>
          <w:iCs w:val="false"/>
          <w:sz w:val="18"/>
          <w:szCs w:val="18"/>
        </w:rPr>
        <w:t xml:space="preserve">Контакт с кожей</w:t>
      </w:r>
    </w:p>
    <w:p>
      <w:pPr>
        <w:spacing w:after="60" w:before="0"/>
      </w:pPr>
      <w:r>
        <w:rPr>
          <w:rFonts w:ascii="Calibri" w:cs="Calibri" w:eastAsia="Calibri" w:hAnsi="Calibri"/>
          <w:b w:val="false"/>
          <w:bCs w:val="false"/>
          <w:i w:val="false"/>
          <w:iCs w:val="false"/>
          <w:sz w:val="18"/>
          <w:szCs w:val="18"/>
        </w:rPr>
        <w:t xml:space="preserve">Немедленно снять загрязнённую одежду и выстирать её перед повторным использованием. При загрязнении кожи осторожно удалить избыток продукта с поверхности кожи, например чистым полотенцем, затем вымыть кожу большим количеством воды с мылом или раствором мягкого моющего средства и нанести крем для рук. Если раздражение сохраняется, обратиться к врачу.</w:t>
      </w:r>
    </w:p>
    <w:p>
      <w:pPr>
        <w:spacing w:after="60" w:before="0"/>
      </w:pPr>
      <w:r>
        <w:rPr>
          <w:rFonts w:ascii="Calibri" w:cs="Calibri" w:eastAsia="Calibri" w:hAnsi="Calibri"/>
          <w:b/>
          <w:bCs/>
          <w:i w:val="false"/>
          <w:iCs w:val="false"/>
          <w:sz w:val="18"/>
          <w:szCs w:val="18"/>
        </w:rPr>
        <w:t xml:space="preserve">Контакт с глазами</w:t>
      </w:r>
    </w:p>
    <w:p>
      <w:pPr>
        <w:spacing w:after="60" w:before="0"/>
      </w:pPr>
      <w:r>
        <w:rPr>
          <w:rFonts w:ascii="Calibri" w:cs="Calibri" w:eastAsia="Calibri" w:hAnsi="Calibri"/>
          <w:b w:val="false"/>
          <w:bCs w:val="false"/>
          <w:i w:val="false"/>
          <w:iCs w:val="false"/>
          <w:sz w:val="18"/>
          <w:szCs w:val="18"/>
        </w:rPr>
        <w:t xml:space="preserve">Немедленно снять контактные линзы. Промывать глаза большим количеством тёплой воды не менее 10 минут (при вывернутых веках), избегая сильной струи воды из-за риска повреждения роговицы; при загрязнении одного глаза во время промывания защищать второй глаз от загрязнения. Обеспечить пострадавшему консультацию офтальмолога.</w:t>
      </w:r>
    </w:p>
    <w:p>
      <w:pPr>
        <w:spacing w:after="60" w:before="0"/>
      </w:pPr>
      <w:r>
        <w:rPr>
          <w:rFonts w:ascii="Calibri" w:cs="Calibri" w:eastAsia="Calibri" w:hAnsi="Calibri"/>
          <w:b w:val="false"/>
          <w:bCs w:val="false"/>
          <w:i w:val="false"/>
          <w:iCs w:val="false"/>
          <w:sz w:val="18"/>
          <w:szCs w:val="18"/>
        </w:rPr>
        <w:t xml:space="preserve">Примечание: лица, подверженные риску загрязнения глаз, должны быть проинструктированы о необходимости и способе их немедленного промывания.</w:t>
      </w:r>
    </w:p>
    <w:p>
      <w:pPr>
        <w:spacing w:after="60" w:before="0"/>
      </w:pPr>
      <w:r>
        <w:rPr>
          <w:rFonts w:ascii="Calibri" w:cs="Calibri" w:eastAsia="Calibri" w:hAnsi="Calibri"/>
          <w:b/>
          <w:bCs/>
          <w:i w:val="false"/>
          <w:iCs w:val="false"/>
          <w:sz w:val="18"/>
          <w:szCs w:val="18"/>
        </w:rPr>
        <w:t xml:space="preserve">Воздействие через пищеварительный тракт</w:t>
      </w:r>
    </w:p>
    <w:p>
      <w:pPr>
        <w:spacing w:after="60" w:before="0"/>
      </w:pPr>
      <w:r>
        <w:rPr>
          <w:rFonts w:ascii="Calibri" w:cs="Calibri" w:eastAsia="Calibri" w:hAnsi="Calibri"/>
          <w:b w:val="false"/>
          <w:bCs w:val="false"/>
          <w:i w:val="false"/>
          <w:iCs w:val="false"/>
          <w:sz w:val="18"/>
          <w:szCs w:val="18"/>
        </w:rPr>
        <w:t xml:space="preserve">Если пострадавший полностью в сознании, тщательно прополоскать рот водой и обратиться к врачу.</w:t>
      </w:r>
    </w:p>
    <w:p>
      <w:pPr>
        <w:spacing w:after="60" w:before="0"/>
      </w:pPr>
      <w:r>
        <w:rPr>
          <w:rFonts w:ascii="Calibri" w:cs="Calibri" w:eastAsia="Calibri" w:hAnsi="Calibri"/>
          <w:b/>
          <w:bCs/>
          <w:i w:val="false"/>
          <w:iCs w:val="false"/>
          <w:sz w:val="18"/>
          <w:szCs w:val="18"/>
        </w:rPr>
        <w:t xml:space="preserve">Общие замечания</w:t>
      </w:r>
    </w:p>
    <w:p>
      <w:pPr>
        <w:spacing w:after="60" w:before="0"/>
      </w:pPr>
      <w:r>
        <w:rPr>
          <w:rFonts w:ascii="Calibri" w:cs="Calibri" w:eastAsia="Calibri" w:hAnsi="Calibri"/>
          <w:b w:val="false"/>
          <w:bCs w:val="false"/>
          <w:i w:val="false"/>
          <w:iCs w:val="false"/>
          <w:sz w:val="18"/>
          <w:szCs w:val="18"/>
        </w:rPr>
        <w:t xml:space="preserve">При появлении любых тревожных симптомов немедленно вызвать врача или доставить пострадавшего в больницу, показать упаковку продукта или этикетку.</w:t>
      </w:r>
    </w:p>
    <w:p>
      <w:pPr>
        <w:spacing w:after="60" w:before="0"/>
      </w:pPr>
      <w:r>
        <w:rPr>
          <w:rFonts w:ascii="Calibri" w:cs="Calibri" w:eastAsia="Calibri" w:hAnsi="Calibri"/>
          <w:b w:val="false"/>
          <w:bCs w:val="false"/>
          <w:i w:val="false"/>
          <w:iCs w:val="false"/>
          <w:sz w:val="18"/>
          <w:szCs w:val="18"/>
        </w:rPr>
        <w:t xml:space="preserve">Пострадавшего без сознания уложить в устойчивое боковое положение, обеспечить покой, защитить от потери тепла, контролировать дыхание и пульс. Никогда не вызывать рвоту и не давать ничего внутрь человеку без сознания или в оглушённом состоянии.</w:t>
      </w:r>
    </w:p>
    <w:p>
      <w:pPr>
        <w:spacing w:after="40" w:before="140"/>
      </w:pPr>
      <w:r>
        <w:rPr>
          <w:rFonts w:ascii="Calibri" w:cs="Calibri" w:eastAsia="Calibri" w:hAnsi="Calibri"/>
          <w:b/>
          <w:bCs/>
          <w:i w:val="false"/>
          <w:iCs w:val="false"/>
          <w:sz w:val="18"/>
          <w:szCs w:val="18"/>
        </w:rPr>
        <w:t xml:space="preserve">4.2. Важнейшие острые и отсроченные симптомы и последствия воздействия</w:t>
      </w:r>
    </w:p>
    <w:p>
      <w:pPr>
        <w:spacing w:after="60" w:before="0"/>
      </w:pPr>
      <w:r>
        <w:rPr>
          <w:rFonts w:ascii="Calibri" w:cs="Calibri" w:eastAsia="Calibri" w:hAnsi="Calibri"/>
          <w:b w:val="false"/>
          <w:bCs w:val="false"/>
          <w:i w:val="false"/>
          <w:iCs w:val="false"/>
          <w:sz w:val="18"/>
          <w:szCs w:val="18"/>
        </w:rPr>
        <w:t xml:space="preserve">При проглатывании могут возникнуть тошнота, рвота, диарея — из-за содержания, в частности, касторового масла продукт оказывает слабительное действие. Контакт с глазами может вызвать механическое раздражение глаза, покраснение и слезотечение. Контакт с кожей не должен вызывать негативных последствий; у особо чувствительных лиц может возникнуть незначительное раздражение. Ингаляционное воздействие практически невозможно вследствие физической формы продукта (подробное описание см. раздел 11).</w:t>
      </w:r>
    </w:p>
    <w:p>
      <w:pPr>
        <w:spacing w:after="40" w:before="140"/>
      </w:pPr>
      <w:r>
        <w:rPr>
          <w:rFonts w:ascii="Calibri" w:cs="Calibri" w:eastAsia="Calibri" w:hAnsi="Calibri"/>
          <w:b/>
          <w:bCs/>
          <w:i w:val="false"/>
          <w:iCs w:val="false"/>
          <w:sz w:val="18"/>
          <w:szCs w:val="18"/>
        </w:rPr>
        <w:t xml:space="preserve">4.3. Указания относительно необходимости немедленной медицинской помощи и особого обращения с пострадавшим</w:t>
      </w:r>
    </w:p>
    <w:p>
      <w:pPr>
        <w:spacing w:after="60" w:before="0"/>
      </w:pPr>
      <w:r>
        <w:rPr>
          <w:rFonts w:ascii="Calibri" w:cs="Calibri" w:eastAsia="Calibri" w:hAnsi="Calibri"/>
          <w:b w:val="false"/>
          <w:bCs w:val="false"/>
          <w:i w:val="false"/>
          <w:iCs w:val="false"/>
          <w:sz w:val="18"/>
          <w:szCs w:val="18"/>
        </w:rPr>
        <w:t xml:space="preserve">Особые указания отсутствуют.</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5: МЕРЫ ПОЖАРОТУШЕНИЯ</w:t>
            </w:r>
          </w:p>
        </w:tc>
      </w:tr>
    </w:tbl>
    <w:p>
      <w:pPr>
        <w:spacing w:after="60" w:before="0"/>
      </w:pPr>
    </w:p>
    <w:p>
      <w:pPr>
        <w:spacing w:after="40" w:before="140"/>
      </w:pPr>
      <w:r>
        <w:rPr>
          <w:rFonts w:ascii="Calibri" w:cs="Calibri" w:eastAsia="Calibri" w:hAnsi="Calibri"/>
          <w:b/>
          <w:bCs/>
          <w:i w:val="false"/>
          <w:iCs w:val="false"/>
          <w:sz w:val="18"/>
          <w:szCs w:val="18"/>
        </w:rPr>
        <w:t xml:space="preserve">5.1. Средства пожаротушения</w:t>
      </w:r>
    </w:p>
    <w:p>
      <w:pPr>
        <w:spacing w:after="60" w:before="0"/>
      </w:pPr>
      <w:r>
        <w:rPr>
          <w:rFonts w:ascii="Calibri" w:cs="Calibri" w:eastAsia="Calibri" w:hAnsi="Calibri"/>
          <w:b/>
          <w:bCs/>
          <w:i w:val="false"/>
          <w:iCs w:val="false"/>
          <w:sz w:val="18"/>
          <w:szCs w:val="18"/>
        </w:rPr>
        <w:t xml:space="preserve">Подходящие средства пожаротушения:</w:t>
      </w:r>
    </w:p>
    <w:p>
      <w:pPr>
        <w:spacing w:after="60" w:before="0"/>
      </w:pPr>
      <w:r>
        <w:rPr>
          <w:rFonts w:ascii="Calibri" w:cs="Calibri" w:eastAsia="Calibri" w:hAnsi="Calibri"/>
          <w:b w:val="false"/>
          <w:bCs w:val="false"/>
          <w:i w:val="false"/>
          <w:iCs w:val="false"/>
          <w:sz w:val="18"/>
          <w:szCs w:val="18"/>
        </w:rPr>
        <w:t xml:space="preserve">Порошковые огнетушащие средства, диоксид углерода (углекислотный огнетушитель), огнетушащая пена.</w:t>
      </w:r>
    </w:p>
    <w:p>
      <w:pPr>
        <w:spacing w:after="60" w:before="0"/>
      </w:pPr>
      <w:r>
        <w:rPr>
          <w:rFonts w:ascii="Calibri" w:cs="Calibri" w:eastAsia="Calibri" w:hAnsi="Calibri"/>
          <w:b/>
          <w:bCs/>
          <w:i w:val="false"/>
          <w:iCs w:val="false"/>
          <w:sz w:val="18"/>
          <w:szCs w:val="18"/>
        </w:rPr>
        <w:t xml:space="preserve">Неподходящие средства пожаротушения:</w:t>
      </w:r>
    </w:p>
    <w:p>
      <w:pPr>
        <w:spacing w:after="60" w:before="0"/>
      </w:pPr>
      <w:r>
        <w:rPr>
          <w:rFonts w:ascii="Calibri" w:cs="Calibri" w:eastAsia="Calibri" w:hAnsi="Calibri"/>
          <w:b w:val="false"/>
          <w:bCs w:val="false"/>
          <w:i w:val="false"/>
          <w:iCs w:val="false"/>
          <w:sz w:val="18"/>
          <w:szCs w:val="18"/>
        </w:rPr>
        <w:t xml:space="preserve">Не применять компактные струи воды на поверхность продукта.</w:t>
      </w:r>
    </w:p>
    <w:p>
      <w:pPr>
        <w:spacing w:after="40" w:before="140"/>
      </w:pPr>
      <w:r>
        <w:rPr>
          <w:rFonts w:ascii="Calibri" w:cs="Calibri" w:eastAsia="Calibri" w:hAnsi="Calibri"/>
          <w:b/>
          <w:bCs/>
          <w:i w:val="false"/>
          <w:iCs w:val="false"/>
          <w:sz w:val="18"/>
          <w:szCs w:val="18"/>
        </w:rPr>
        <w:t xml:space="preserve">5.2. Особые опасности, связанные с веществом или смесью</w:t>
      </w:r>
    </w:p>
    <w:p>
      <w:pPr>
        <w:spacing w:after="60" w:before="0"/>
      </w:pPr>
      <w:r>
        <w:rPr>
          <w:rFonts w:ascii="Calibri" w:cs="Calibri" w:eastAsia="Calibri" w:hAnsi="Calibri"/>
          <w:b w:val="false"/>
          <w:bCs w:val="false"/>
          <w:i w:val="false"/>
          <w:iCs w:val="false"/>
          <w:sz w:val="18"/>
          <w:szCs w:val="18"/>
        </w:rPr>
        <w:t xml:space="preserve">При пожаре образуются, в частности, оксид и диоксид углерода, оксид кальция, продукты частичного разложения органических веществ, а также небольшие количества оксидов азота.</w:t>
      </w:r>
    </w:p>
    <w:p>
      <w:pPr>
        <w:spacing w:after="60" w:before="0"/>
      </w:pPr>
      <w:r>
        <w:rPr>
          <w:rFonts w:ascii="Calibri" w:cs="Calibri" w:eastAsia="Calibri" w:hAnsi="Calibri"/>
          <w:b w:val="false"/>
          <w:bCs w:val="false"/>
          <w:i w:val="false"/>
          <w:iCs w:val="false"/>
          <w:sz w:val="18"/>
          <w:szCs w:val="18"/>
        </w:rPr>
        <w:t xml:space="preserve">Высокая температура может вызвать повышение давления в закрытой ёмкости и её разрыв.</w:t>
      </w:r>
    </w:p>
    <w:p>
      <w:pPr>
        <w:spacing w:after="40" w:before="140"/>
      </w:pPr>
      <w:r>
        <w:rPr>
          <w:rFonts w:ascii="Calibri" w:cs="Calibri" w:eastAsia="Calibri" w:hAnsi="Calibri"/>
          <w:b/>
          <w:bCs/>
          <w:i w:val="false"/>
          <w:iCs w:val="false"/>
          <w:sz w:val="18"/>
          <w:szCs w:val="18"/>
        </w:rPr>
        <w:t xml:space="preserve">5.3. Информация для пожарной охраны</w:t>
      </w:r>
    </w:p>
    <w:p>
      <w:pPr>
        <w:spacing w:after="60" w:before="0"/>
      </w:pPr>
      <w:r>
        <w:rPr>
          <w:rFonts w:ascii="Calibri" w:cs="Calibri" w:eastAsia="Calibri" w:hAnsi="Calibri"/>
          <w:b/>
          <w:bCs/>
          <w:i w:val="false"/>
          <w:iCs w:val="false"/>
          <w:sz w:val="18"/>
          <w:szCs w:val="18"/>
        </w:rPr>
        <w:t xml:space="preserve">Специальное защитное снаряжение пожарных:</w:t>
      </w:r>
    </w:p>
    <w:p>
      <w:pPr>
        <w:spacing w:after="60" w:before="0"/>
      </w:pPr>
      <w:r>
        <w:rPr>
          <w:rFonts w:ascii="Calibri" w:cs="Calibri" w:eastAsia="Calibri" w:hAnsi="Calibri"/>
          <w:b w:val="false"/>
          <w:bCs w:val="false"/>
          <w:i w:val="false"/>
          <w:iCs w:val="false"/>
          <w:sz w:val="18"/>
          <w:szCs w:val="18"/>
        </w:rPr>
        <w:t xml:space="preserve">Стандартная защитная одежда для пожарных (EN 469) и изолирующие дыхательные аппараты, не зависящие от окружающего воздуха.</w:t>
      </w:r>
    </w:p>
    <w:p>
      <w:pPr>
        <w:spacing w:after="60" w:before="0"/>
      </w:pPr>
      <w:r>
        <w:rPr>
          <w:rFonts w:ascii="Calibri" w:cs="Calibri" w:eastAsia="Calibri" w:hAnsi="Calibri"/>
          <w:b/>
          <w:bCs/>
          <w:i w:val="false"/>
          <w:iCs w:val="false"/>
          <w:sz w:val="18"/>
          <w:szCs w:val="18"/>
        </w:rPr>
        <w:t xml:space="preserve">Прочие замечания:</w:t>
      </w:r>
    </w:p>
    <w:p>
      <w:pPr>
        <w:spacing w:after="60" w:before="0"/>
      </w:pPr>
      <w:r>
        <w:rPr>
          <w:rFonts w:ascii="Calibri" w:cs="Calibri" w:eastAsia="Calibri" w:hAnsi="Calibri"/>
          <w:b w:val="false"/>
          <w:bCs w:val="false"/>
          <w:i w:val="false"/>
          <w:iCs w:val="false"/>
          <w:sz w:val="18"/>
          <w:szCs w:val="18"/>
        </w:rPr>
        <w:t xml:space="preserve">Если это возможно без угрозы здоровью или жизни спасателей, ёмкости с продуктом следует удалить из зоны, подверженной пожару; если это невозможно — охлаждать их водой с безопасного расстояния так, чтобы вода не попала внутрь ёмкостей.</w:t>
      </w:r>
    </w:p>
    <w:p>
      <w:pPr>
        <w:spacing w:after="60" w:before="0"/>
      </w:pPr>
      <w:r>
        <w:rPr>
          <w:rFonts w:ascii="Calibri" w:cs="Calibri" w:eastAsia="Calibri" w:hAnsi="Calibri"/>
          <w:b w:val="false"/>
          <w:bCs w:val="false"/>
          <w:i w:val="false"/>
          <w:iCs w:val="false"/>
          <w:sz w:val="18"/>
          <w:szCs w:val="18"/>
        </w:rPr>
        <w:t xml:space="preserve">Обеспечить сбор загрязнённых средств, использованных для тушения пожара; не допускать попадания загрязнённых огнетушащих средств в канализационную систему.</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6: МЕРЫ ПРИ СЛУЧАЙНОМ ВЫСВОБОЖДЕНИИ</w:t>
            </w:r>
          </w:p>
        </w:tc>
      </w:tr>
    </w:tbl>
    <w:p>
      <w:pPr>
        <w:spacing w:after="60" w:before="0"/>
      </w:pPr>
    </w:p>
    <w:p>
      <w:pPr>
        <w:spacing w:after="40" w:before="140"/>
      </w:pPr>
      <w:r>
        <w:rPr>
          <w:rFonts w:ascii="Calibri" w:cs="Calibri" w:eastAsia="Calibri" w:hAnsi="Calibri"/>
          <w:b/>
          <w:bCs/>
          <w:i w:val="false"/>
          <w:iCs w:val="false"/>
          <w:sz w:val="18"/>
          <w:szCs w:val="18"/>
        </w:rPr>
        <w:t xml:space="preserve">6.1. Индивидуальные меры предосторожности, защитное снаряжение и порядок действий в аварийной ситуации</w:t>
      </w:r>
    </w:p>
    <w:p>
      <w:pPr>
        <w:spacing w:after="60" w:before="0"/>
      </w:pPr>
      <w:r>
        <w:rPr>
          <w:rFonts w:ascii="Calibri" w:cs="Calibri" w:eastAsia="Calibri" w:hAnsi="Calibri"/>
          <w:b w:val="false"/>
          <w:bCs w:val="false"/>
          <w:i w:val="false"/>
          <w:iCs w:val="false"/>
          <w:sz w:val="18"/>
          <w:szCs w:val="18"/>
        </w:rPr>
        <w:t xml:space="preserve">Не допускать посторонних и неуполномоченных лиц. Загрязнённые продуктом поверхности скользкие — существует опасность поскользнуться на разлитом продукте. Обозначить зону утечки предупреждающими табличками. Обеспечить надлежащую вентиляцию. Устранить все источники воспламенения, не применять искрообразующий инструмент.</w:t>
      </w:r>
    </w:p>
    <w:p>
      <w:pPr>
        <w:spacing w:after="60" w:before="0"/>
      </w:pPr>
      <w:r>
        <w:rPr>
          <w:rFonts w:ascii="Calibri" w:cs="Calibri" w:eastAsia="Calibri" w:hAnsi="Calibri"/>
          <w:b w:val="false"/>
          <w:bCs w:val="false"/>
          <w:i w:val="false"/>
          <w:iCs w:val="false"/>
          <w:sz w:val="18"/>
          <w:szCs w:val="18"/>
        </w:rPr>
        <w:t xml:space="preserve">Избегать непосредственного контакта с высвободившимся продуктом; как можно быстрее сменить загрязнённые продуктом одежду или обувь. Не вдыхать аэрозоли продукта. К работам по ликвидации последствий аварии привлекать лиц, прошедших обучение и оснащённых средствами индивидуальной защиты, соответствующими масштабу опасности.</w:t>
      </w:r>
    </w:p>
    <w:p>
      <w:pPr>
        <w:spacing w:after="60" w:before="0"/>
      </w:pPr>
      <w:r>
        <w:rPr>
          <w:rFonts w:ascii="Calibri" w:cs="Calibri" w:eastAsia="Calibri" w:hAnsi="Calibri"/>
          <w:b w:val="false"/>
          <w:bCs w:val="false"/>
          <w:i w:val="false"/>
          <w:iCs w:val="false"/>
          <w:sz w:val="18"/>
          <w:szCs w:val="18"/>
        </w:rPr>
        <w:t xml:space="preserve">Внимание: продукт реагирует с кислотами с выделением диоксида углерода.</w:t>
      </w:r>
    </w:p>
    <w:p>
      <w:pPr>
        <w:spacing w:after="40" w:before="140"/>
      </w:pPr>
      <w:r>
        <w:rPr>
          <w:rFonts w:ascii="Calibri" w:cs="Calibri" w:eastAsia="Calibri" w:hAnsi="Calibri"/>
          <w:b/>
          <w:bCs/>
          <w:i w:val="false"/>
          <w:iCs w:val="false"/>
          <w:sz w:val="18"/>
          <w:szCs w:val="18"/>
        </w:rPr>
        <w:t xml:space="preserve">6.2. Меры предосторожности по защите окружающей среды</w:t>
      </w:r>
    </w:p>
    <w:p>
      <w:pPr>
        <w:spacing w:after="60" w:before="0"/>
      </w:pPr>
      <w:r>
        <w:rPr>
          <w:rFonts w:ascii="Calibri" w:cs="Calibri" w:eastAsia="Calibri" w:hAnsi="Calibri"/>
          <w:b w:val="false"/>
          <w:bCs w:val="false"/>
          <w:i w:val="false"/>
          <w:iCs w:val="false"/>
          <w:sz w:val="18"/>
          <w:szCs w:val="18"/>
        </w:rPr>
        <w:t xml:space="preserve">Не допускать попадания продукта в поверхностные и грунтовые воды, в почву и в канализацию — защитить сточные колодцы. Ограничить распространение разлива обвалованием территории. В случае попадания больших количеств продукта в окружающую среду или в канализационную систему уведомить соответствующие органы власти и службы химического реагирования.</w:t>
      </w:r>
    </w:p>
    <w:p>
      <w:pPr>
        <w:spacing w:after="40" w:before="140"/>
      </w:pPr>
      <w:r>
        <w:rPr>
          <w:rFonts w:ascii="Calibri" w:cs="Calibri" w:eastAsia="Calibri" w:hAnsi="Calibri"/>
          <w:b/>
          <w:bCs/>
          <w:i w:val="false"/>
          <w:iCs w:val="false"/>
          <w:sz w:val="18"/>
          <w:szCs w:val="18"/>
        </w:rPr>
        <w:t xml:space="preserve">6.3. Методы и материалы для локализации и очистки</w:t>
      </w:r>
    </w:p>
    <w:p>
      <w:pPr>
        <w:spacing w:after="60" w:before="0"/>
      </w:pPr>
      <w:r>
        <w:rPr>
          <w:rFonts w:ascii="Calibri" w:cs="Calibri" w:eastAsia="Calibri" w:hAnsi="Calibri"/>
          <w:b w:val="false"/>
          <w:bCs w:val="false"/>
          <w:i w:val="false"/>
          <w:iCs w:val="false"/>
          <w:sz w:val="18"/>
          <w:szCs w:val="18"/>
        </w:rPr>
        <w:t xml:space="preserve">Если возможно, устранить утечку (например, загерметизировать повреждённую упаковку, поместить её в другую, неповреждённую защитную ёмкость). При большой утечке ограничить её с помощью обвалования из песка, земли и т. п., собранную жидкость удалить механически. Небольшие количества высвободившегося материала засыпать негорючим впитывающим материалом (песок, диатомит, универсальный сорбент, опилки) и собрать в надлежащим образом маркированную ёмкость для отходов. Место утечки тщательно вымыть водой.</w:t>
      </w:r>
    </w:p>
    <w:p>
      <w:pPr>
        <w:spacing w:after="40" w:before="140"/>
      </w:pPr>
      <w:r>
        <w:rPr>
          <w:rFonts w:ascii="Calibri" w:cs="Calibri" w:eastAsia="Calibri" w:hAnsi="Calibri"/>
          <w:b/>
          <w:bCs/>
          <w:i w:val="false"/>
          <w:iCs w:val="false"/>
          <w:sz w:val="18"/>
          <w:szCs w:val="18"/>
        </w:rPr>
        <w:t xml:space="preserve">6.4. Ссылки на другие разделы</w:t>
      </w:r>
    </w:p>
    <w:p>
      <w:pPr>
        <w:spacing w:after="60" w:before="0"/>
      </w:pPr>
      <w:r>
        <w:rPr>
          <w:rFonts w:ascii="Calibri" w:cs="Calibri" w:eastAsia="Calibri" w:hAnsi="Calibri"/>
          <w:b w:val="false"/>
          <w:bCs w:val="false"/>
          <w:i w:val="false"/>
          <w:iCs w:val="false"/>
          <w:sz w:val="18"/>
          <w:szCs w:val="18"/>
        </w:rPr>
        <w:t xml:space="preserve">Средства индивидуальной защиты — см. раздел 8.</w:t>
      </w:r>
    </w:p>
    <w:p>
      <w:pPr>
        <w:spacing w:after="60" w:before="0"/>
      </w:pPr>
      <w:r>
        <w:rPr>
          <w:rFonts w:ascii="Calibri" w:cs="Calibri" w:eastAsia="Calibri" w:hAnsi="Calibri"/>
          <w:b w:val="false"/>
          <w:bCs w:val="false"/>
          <w:i w:val="false"/>
          <w:iCs w:val="false"/>
          <w:sz w:val="18"/>
          <w:szCs w:val="18"/>
        </w:rPr>
        <w:t xml:space="preserve">Удаление продукта и прочих остатков — см. раздел 13.</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7: ОБРАЩЕНИЕ И ХРАНЕНИЕ</w:t>
            </w:r>
          </w:p>
        </w:tc>
      </w:tr>
    </w:tbl>
    <w:p>
      <w:pPr>
        <w:spacing w:after="60" w:before="0"/>
      </w:pPr>
    </w:p>
    <w:p>
      <w:pPr>
        <w:spacing w:after="40" w:before="140"/>
      </w:pPr>
      <w:r>
        <w:rPr>
          <w:rFonts w:ascii="Calibri" w:cs="Calibri" w:eastAsia="Calibri" w:hAnsi="Calibri"/>
          <w:b/>
          <w:bCs/>
          <w:i w:val="false"/>
          <w:iCs w:val="false"/>
          <w:sz w:val="18"/>
          <w:szCs w:val="18"/>
        </w:rPr>
        <w:t xml:space="preserve">7.1. Меры предосторожности при безопасном обращении</w:t>
      </w:r>
    </w:p>
    <w:p>
      <w:pPr>
        <w:spacing w:after="60" w:before="0"/>
      </w:pPr>
      <w:r>
        <w:rPr>
          <w:rFonts w:ascii="Calibri" w:cs="Calibri" w:eastAsia="Calibri" w:hAnsi="Calibri"/>
          <w:b w:val="false"/>
          <w:bCs w:val="false"/>
          <w:i w:val="false"/>
          <w:iCs w:val="false"/>
          <w:sz w:val="18"/>
          <w:szCs w:val="18"/>
        </w:rPr>
        <w:t xml:space="preserve">Соблюдать общие правила гигиены и требования охраны труда при работе с химикатами (см. раздел 15).</w:t>
      </w:r>
    </w:p>
    <w:p>
      <w:pPr>
        <w:spacing w:after="60" w:before="0"/>
      </w:pPr>
      <w:r>
        <w:rPr>
          <w:rFonts w:ascii="Calibri" w:cs="Calibri" w:eastAsia="Calibri" w:hAnsi="Calibri"/>
          <w:b w:val="false"/>
          <w:bCs w:val="false"/>
          <w:i w:val="false"/>
          <w:iCs w:val="false"/>
          <w:sz w:val="18"/>
          <w:szCs w:val="18"/>
        </w:rPr>
        <w:t xml:space="preserve">Избегать контакта продукта с кожей и глазами. Применять надлежащие средства индивидуальной защиты. При загрязнении продуктом одежды или обуви следует как можно быстрее их снять и тщательно выстирать или очистить перед повторным использованием.</w:t>
      </w:r>
    </w:p>
    <w:p>
      <w:pPr>
        <w:spacing w:after="60" w:before="0"/>
      </w:pPr>
      <w:r>
        <w:rPr>
          <w:rFonts w:ascii="Calibri" w:cs="Calibri" w:eastAsia="Calibri" w:hAnsi="Calibri"/>
          <w:b w:val="false"/>
          <w:bCs w:val="false"/>
          <w:i w:val="false"/>
          <w:iCs w:val="false"/>
          <w:sz w:val="18"/>
          <w:szCs w:val="18"/>
        </w:rPr>
        <w:t xml:space="preserve">Защищать продукт от источников тепла (горячие поверхности) и воспламенения (искры, открытый огонь). Обеспечить свободный доступ к средствам пожаротушения и оборудованию, необходимому при ликвидации утечки вещества. Во время работы с продуктом запрещается принимать пищу, пить напитки и курить, за исключением специально отведённых мест; следует мыть руки перед перерывами и по окончании работы, при необходимости после мытья применять крем для рук.</w:t>
      </w:r>
    </w:p>
    <w:p>
      <w:pPr>
        <w:spacing w:after="40" w:before="140"/>
      </w:pPr>
      <w:r>
        <w:rPr>
          <w:rFonts w:ascii="Calibri" w:cs="Calibri" w:eastAsia="Calibri" w:hAnsi="Calibri"/>
          <w:b/>
          <w:bCs/>
          <w:i w:val="false"/>
          <w:iCs w:val="false"/>
          <w:sz w:val="18"/>
          <w:szCs w:val="18"/>
        </w:rPr>
        <w:t xml:space="preserve">7.2. Условия безопасного хранения, включая информацию о любой несовместимости</w:t>
      </w:r>
    </w:p>
    <w:p>
      <w:pPr>
        <w:spacing w:after="60" w:before="0"/>
      </w:pPr>
      <w:r>
        <w:rPr>
          <w:rFonts w:ascii="Calibri" w:cs="Calibri" w:eastAsia="Calibri" w:hAnsi="Calibri"/>
          <w:b w:val="false"/>
          <w:bCs w:val="false"/>
          <w:i w:val="false"/>
          <w:iCs w:val="false"/>
          <w:sz w:val="18"/>
          <w:szCs w:val="18"/>
        </w:rPr>
        <w:t xml:space="preserve">Хранить в прохладных, сухих и хорошо вентилируемых местах, в плотно закрытых (без доступа света) и надлежащим образом маркированных ёмкостях, предпочтительно в оригинальной таре производителя. Рекомендуемая температура хранения — от +5 °C до +25 °C. Ранее вскрытые ёмкости плотно закрывать и хранить вертикально, чтобы предотвратить вытекание препарата. Защищать от прямых солнечных лучей и других источников тепла и воспламенения. Хранить вдали от кислот и материалов с окислительными свойствами (см. раздел 10). Не хранить вблизи пищевых продуктов и кормов.</w:t>
      </w:r>
    </w:p>
    <w:p>
      <w:pPr>
        <w:spacing w:after="40" w:before="140"/>
      </w:pPr>
      <w:r>
        <w:rPr>
          <w:rFonts w:ascii="Calibri" w:cs="Calibri" w:eastAsia="Calibri" w:hAnsi="Calibri"/>
          <w:b/>
          <w:bCs/>
          <w:i w:val="false"/>
          <w:iCs w:val="false"/>
          <w:sz w:val="18"/>
          <w:szCs w:val="18"/>
        </w:rPr>
        <w:t xml:space="preserve">7.3. Специфические конечные виды применения</w:t>
      </w:r>
    </w:p>
    <w:p>
      <w:pPr>
        <w:spacing w:after="60" w:before="0"/>
      </w:pPr>
      <w:r>
        <w:rPr>
          <w:rFonts w:ascii="Calibri" w:cs="Calibri" w:eastAsia="Calibri" w:hAnsi="Calibri"/>
          <w:b w:val="false"/>
          <w:bCs w:val="false"/>
          <w:i w:val="false"/>
          <w:iCs w:val="false"/>
          <w:sz w:val="18"/>
          <w:szCs w:val="18"/>
        </w:rPr>
        <w:t xml:space="preserve">Не известны.</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8: КОНТРОЛЬ ВОЗДЕЙСТВИЯ / СРЕДСТВА ИНДИВИДУАЛЬНОЙ ЗАЩИТЫ</w:t>
            </w:r>
          </w:p>
        </w:tc>
      </w:tr>
    </w:tbl>
    <w:p>
      <w:pPr>
        <w:spacing w:after="60" w:before="0"/>
      </w:pPr>
    </w:p>
    <w:p>
      <w:pPr>
        <w:spacing w:after="40" w:before="140"/>
      </w:pPr>
      <w:r>
        <w:rPr>
          <w:rFonts w:ascii="Calibri" w:cs="Calibri" w:eastAsia="Calibri" w:hAnsi="Calibri"/>
          <w:b/>
          <w:bCs/>
          <w:i w:val="false"/>
          <w:iCs w:val="false"/>
          <w:sz w:val="18"/>
          <w:szCs w:val="18"/>
        </w:rPr>
        <w:t xml:space="preserve">8.1. Параметры контроля</w:t>
      </w:r>
    </w:p>
    <w:p>
      <w:pPr>
        <w:spacing w:after="60" w:before="0"/>
      </w:pPr>
      <w:r>
        <w:rPr>
          <w:rFonts w:ascii="Calibri" w:cs="Calibri" w:eastAsia="Calibri" w:hAnsi="Calibri"/>
          <w:b w:val="false"/>
          <w:bCs w:val="false"/>
          <w:i w:val="false"/>
          <w:iCs w:val="false"/>
          <w:sz w:val="18"/>
          <w:szCs w:val="18"/>
        </w:rPr>
        <w:t xml:space="preserve">Национальные значения предельно допустимых концентраций в воздухе рабочей зоны с указанием правового основания (постановление Министра семьи, труда и социальной политики Польши 2018 г., поз. 1286, с последующими изменениями — см. раздел 15):</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Карбонат кальция — пыль</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NDS = 10 мг/м³; NDSCh не установлено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Пыль, не классифицированная по признаку токсичности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NDS = 10 мг/м³; NDSCh не установлено</w:t>
            </w:r>
          </w:p>
        </w:tc>
      </w:tr>
    </w:tbl>
    <w:p>
      <w:pPr>
        <w:spacing w:after="80" w:before="0"/>
      </w:pPr>
    </w:p>
    <w:p>
      <w:pPr>
        <w:spacing w:after="60" w:before="0"/>
      </w:pPr>
      <w:r>
        <w:rPr>
          <w:rFonts w:ascii="Calibri" w:cs="Calibri" w:eastAsia="Calibri" w:hAnsi="Calibri"/>
          <w:b w:val="false"/>
          <w:bCs w:val="false"/>
          <w:i w:val="false"/>
          <w:iCs w:val="false"/>
          <w:sz w:val="18"/>
          <w:szCs w:val="18"/>
        </w:rPr>
        <w:t xml:space="preserve">Продукт имеет форму густой суспензии, и в нормальных условиях работы образование пыли маловероятно.</w:t>
      </w:r>
    </w:p>
    <w:p>
      <w:pPr>
        <w:spacing w:after="60" w:before="0"/>
      </w:pPr>
      <w:r>
        <w:rPr>
          <w:rFonts w:ascii="Calibri" w:cs="Calibri" w:eastAsia="Calibri" w:hAnsi="Calibri"/>
          <w:b/>
          <w:bCs/>
          <w:i w:val="false"/>
          <w:iCs w:val="false"/>
          <w:sz w:val="18"/>
          <w:szCs w:val="18"/>
        </w:rPr>
        <w:t xml:space="preserve">Национальные допустимые биологические значения DSB</w:t>
      </w:r>
      <w:r>
        <w:rPr>
          <w:rFonts w:ascii="Calibri" w:cs="Calibri" w:eastAsia="Calibri" w:hAnsi="Calibri"/>
          <w:b w:val="false"/>
          <w:bCs w:val="false"/>
          <w:i w:val="false"/>
          <w:iCs w:val="false"/>
          <w:sz w:val="18"/>
          <w:szCs w:val="18"/>
        </w:rPr>
        <w:t xml:space="preserve"> (значения, рекомендованные Межведомственной комиссией по NDS и NDN): не установлены.</w:t>
      </w:r>
    </w:p>
    <w:p>
      <w:pPr>
        <w:spacing w:after="60" w:before="0"/>
      </w:pPr>
      <w:r>
        <w:rPr>
          <w:rFonts w:ascii="Calibri" w:cs="Calibri" w:eastAsia="Calibri" w:hAnsi="Calibri"/>
          <w:b/>
          <w:bCs/>
          <w:i w:val="false"/>
          <w:iCs w:val="false"/>
          <w:sz w:val="18"/>
          <w:szCs w:val="18"/>
        </w:rPr>
        <w:t xml:space="preserve">Информация о рекомендуемых в настоящее время процедурах мониторинга наиболее значимых веществ:</w:t>
      </w:r>
    </w:p>
    <w:p>
      <w:pPr>
        <w:spacing w:after="60" w:before="0"/>
      </w:pPr>
      <w:r>
        <w:rPr>
          <w:rFonts w:ascii="Calibri" w:cs="Calibri" w:eastAsia="Calibri" w:hAnsi="Calibri"/>
          <w:b w:val="false"/>
          <w:bCs w:val="false"/>
          <w:i w:val="false"/>
          <w:iCs w:val="false"/>
          <w:sz w:val="18"/>
          <w:szCs w:val="18"/>
        </w:rPr>
        <w:t xml:space="preserve">Методика измерений — применять режим, методы, вид и периодичность выполнения исследований и измерений вредных для здоровья факторов в производственной среде в соответствии с действующим законодательством (см. раздел 15). Методы исследований и измерений вредных для здоровья факторов в производственной среде определяются польскими стандартами, а также международными или эквивалентными нормами. Определение пыли карбоната кальция — по PN-Z-04294:2001.</w:t>
      </w:r>
    </w:p>
    <w:p>
      <w:pPr>
        <w:spacing w:after="60" w:before="0"/>
      </w:pPr>
      <w:r>
        <w:rPr>
          <w:rFonts w:ascii="Calibri" w:cs="Calibri" w:eastAsia="Calibri" w:hAnsi="Calibri"/>
          <w:b/>
          <w:bCs/>
          <w:i w:val="false"/>
          <w:iCs w:val="false"/>
          <w:sz w:val="18"/>
          <w:szCs w:val="18"/>
        </w:rPr>
        <w:t xml:space="preserve">Значения DNEL и PNEC:</w:t>
      </w:r>
    </w:p>
    <w:p>
      <w:pPr>
        <w:spacing w:after="60" w:before="0"/>
      </w:pPr>
      <w:r>
        <w:rPr>
          <w:rFonts w:ascii="Calibri" w:cs="Calibri" w:eastAsia="Calibri" w:hAnsi="Calibri"/>
          <w:b/>
          <w:bCs/>
          <w:i w:val="false"/>
          <w:iCs w:val="false"/>
          <w:sz w:val="18"/>
          <w:szCs w:val="18"/>
        </w:rPr>
        <w:t xml:space="preserve">Карбонат кальция: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(работники, длительное ингаляционное воздействие, местное действие) 6,36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(потребители, кратковременное воздействие через пищеварительный тракт, системные эффекты) 6,1 мг/кг м. 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(потребители, длительное воздействие через пищеварительный тракт, системные эффекты) 6,1 мг/кг м. т./сут.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(потребители, длительное ингаляционное воздействие, местное действие) 1,06 мг/м³</w:t>
      </w:r>
    </w:p>
    <w:p>
      <w:pPr>
        <w:spacing w:after="60" w:before="0"/>
      </w:pPr>
      <w:r>
        <w:rPr>
          <w:rFonts w:ascii="Calibri" w:cs="Calibri" w:eastAsia="Calibri" w:hAnsi="Calibri"/>
          <w:b/>
          <w:bCs/>
          <w:i w:val="false"/>
          <w:iCs w:val="false"/>
          <w:sz w:val="18"/>
          <w:szCs w:val="18"/>
        </w:rPr>
        <w:t xml:space="preserve">Цеолиты: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(работники, длительное ингаляционное воздействие, местное действие) 3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(работники, длительное воздействие через кожу, системное действие) 2,5 мг/кг м. т./сут.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(потребители, длительное ингаляционное воздействие, местное действие) 0,003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(потребители, длительное воздействие через кожу, системное действие) 1,25 мг/кг м. т./сут.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(пресная вода) 3,2 мг/л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(морская вода) 0,32 мг/л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(очистные сооружения) 95 мг/л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(почва) 600 мг/кг сухой массы</w:t>
      </w:r>
    </w:p>
    <w:p>
      <w:pPr>
        <w:spacing w:after="40" w:before="140"/>
      </w:pPr>
      <w:r>
        <w:rPr>
          <w:rFonts w:ascii="Calibri" w:cs="Calibri" w:eastAsia="Calibri" w:hAnsi="Calibri"/>
          <w:b/>
          <w:bCs/>
          <w:i w:val="false"/>
          <w:iCs w:val="false"/>
          <w:sz w:val="18"/>
          <w:szCs w:val="18"/>
        </w:rPr>
        <w:t xml:space="preserve">8.2. Контроль воздействия</w:t>
      </w:r>
    </w:p>
    <w:p>
      <w:pPr>
        <w:spacing w:after="60" w:before="0"/>
      </w:pPr>
      <w:r>
        <w:rPr>
          <w:rFonts w:ascii="Calibri" w:cs="Calibri" w:eastAsia="Calibri" w:hAnsi="Calibri"/>
          <w:b/>
          <w:bCs/>
          <w:i w:val="false"/>
          <w:iCs w:val="false"/>
          <w:sz w:val="18"/>
          <w:szCs w:val="18"/>
        </w:rPr>
        <w:t xml:space="preserve">8.2.1. Соответствующие технические средства контроля</w:t>
      </w:r>
    </w:p>
    <w:p>
      <w:pPr>
        <w:spacing w:after="60" w:before="0"/>
      </w:pPr>
      <w:r>
        <w:rPr>
          <w:rFonts w:ascii="Calibri" w:cs="Calibri" w:eastAsia="Calibri" w:hAnsi="Calibri"/>
          <w:b w:val="false"/>
          <w:bCs w:val="false"/>
          <w:i w:val="false"/>
          <w:iCs w:val="false"/>
          <w:sz w:val="18"/>
          <w:szCs w:val="18"/>
        </w:rPr>
        <w:t xml:space="preserve">Обеспечить общую вентиляцию во время работы.</w:t>
      </w:r>
    </w:p>
    <w:p>
      <w:pPr>
        <w:spacing w:after="60" w:before="0"/>
      </w:pPr>
      <w:r>
        <w:rPr>
          <w:rFonts w:ascii="Calibri" w:cs="Calibri" w:eastAsia="Calibri" w:hAnsi="Calibri"/>
          <w:b w:val="false"/>
          <w:bCs w:val="false"/>
          <w:i w:val="false"/>
          <w:iCs w:val="false"/>
          <w:sz w:val="18"/>
          <w:szCs w:val="18"/>
        </w:rPr>
        <w:t xml:space="preserve">Избегать непосредственного контакта продукта с глазами, кожей или одеждой. Загрязнённую продуктом одежду немедленно снять, а загрязнённую кожу тщательно вымыть проточной водой. Выстирать одежду перед повторным использованием. Тщательно мыть руки как по окончании работы с продуктом, так и перед каждым перерывом в работе; при необходимости применять крем для рук, предотвращающий пересушивание кожи. Держать продукт вдали от пищевых продуктов, напитков и кормов. Во время применения не есть, не пить и не курить.</w:t>
      </w:r>
    </w:p>
    <w:p>
      <w:pPr>
        <w:spacing w:after="60" w:before="0"/>
      </w:pPr>
      <w:r>
        <w:rPr>
          <w:rFonts w:ascii="Calibri" w:cs="Calibri" w:eastAsia="Calibri" w:hAnsi="Calibri"/>
          <w:b/>
          <w:bCs/>
          <w:i w:val="false"/>
          <w:iCs w:val="false"/>
          <w:sz w:val="18"/>
          <w:szCs w:val="18"/>
        </w:rPr>
        <w:t xml:space="preserve">8.2.2. Индивидуальное защитное снаряжение (средства индивидуальной защиты):</w:t>
      </w:r>
    </w:p>
    <w:p>
      <w:pPr>
        <w:spacing w:after="60" w:before="0"/>
      </w:pPr>
      <w:r>
        <w:rPr>
          <w:rFonts w:ascii="Calibri" w:cs="Calibri" w:eastAsia="Calibri" w:hAnsi="Calibri"/>
          <w:b/>
          <w:bCs/>
          <w:i w:val="false"/>
          <w:iCs w:val="false"/>
          <w:sz w:val="18"/>
          <w:szCs w:val="18"/>
        </w:rPr>
        <w:t xml:space="preserve">a) Защита глаз или лица:</w:t>
      </w:r>
      <w:r>
        <w:rPr>
          <w:rFonts w:ascii="Calibri" w:cs="Calibri" w:eastAsia="Calibri" w:hAnsi="Calibri"/>
          <w:b w:val="false"/>
          <w:bCs w:val="false"/>
          <w:i w:val="false"/>
          <w:iCs w:val="false"/>
          <w:sz w:val="18"/>
          <w:szCs w:val="18"/>
        </w:rPr>
        <w:t xml:space="preserve"> защитные очки, плотно прилегающие к лицу, защищающие от возможных брызг (соответствующие требованиям стандарта PN-EN 166).</w:t>
      </w:r>
    </w:p>
    <w:p>
      <w:pPr>
        <w:spacing w:after="60" w:before="0"/>
      </w:pPr>
      <w:r>
        <w:rPr>
          <w:rFonts w:ascii="Calibri" w:cs="Calibri" w:eastAsia="Calibri" w:hAnsi="Calibri"/>
          <w:b/>
          <w:bCs/>
          <w:i w:val="false"/>
          <w:iCs w:val="false"/>
          <w:sz w:val="18"/>
          <w:szCs w:val="18"/>
        </w:rPr>
        <w:t xml:space="preserve">b) Защита кожи:</w:t>
      </w:r>
    </w:p>
    <w:p>
      <w:pPr>
        <w:pStyle w:val="ListParagraph"/>
        <w:numPr>
          <w:ilvl w:val="0"/>
          <w:numId w:val="2"/>
        </w:numPr>
        <w:spacing w:after="0" w:before="0"/>
      </w:pPr>
      <w:r>
        <w:rPr>
          <w:rFonts w:ascii="Calibri" w:cs="Calibri" w:eastAsia="Calibri" w:hAnsi="Calibri"/>
          <w:b/>
          <w:bCs/>
          <w:i w:val="false"/>
          <w:iCs w:val="false"/>
          <w:sz w:val="18"/>
          <w:szCs w:val="18"/>
        </w:rPr>
        <w:t xml:space="preserve">(i) Защита рук:</w:t>
      </w:r>
      <w:r>
        <w:rPr>
          <w:rFonts w:ascii="Calibri" w:cs="Calibri" w:eastAsia="Calibri" w:hAnsi="Calibri"/>
          <w:b w:val="false"/>
          <w:bCs w:val="false"/>
          <w:i w:val="false"/>
          <w:iCs w:val="false"/>
          <w:sz w:val="18"/>
          <w:szCs w:val="18"/>
        </w:rPr>
        <w:t xml:space="preserve"> защитные перчатки (например, из неопрена или нитрильной резины), соответствующие требованиям стандартов PN-EN 374. Выбор перчаток зависит не только от вида материала, но и от их качества, которое у каждого производителя может быть различным. Поэтому перчатки следует протестировать перед использованием. Перчатки следует заменять каждый раз после использования, а также при их повреждении, например при появлении отверстий или потёртостей.</w:t>
      </w:r>
    </w:p>
    <w:p>
      <w:pPr>
        <w:pStyle w:val="ListParagraph"/>
        <w:numPr>
          <w:ilvl w:val="0"/>
          <w:numId w:val="2"/>
        </w:numPr>
        <w:spacing w:after="0" w:before="0"/>
      </w:pPr>
      <w:r>
        <w:rPr>
          <w:rFonts w:ascii="Calibri" w:cs="Calibri" w:eastAsia="Calibri" w:hAnsi="Calibri"/>
          <w:b/>
          <w:bCs/>
          <w:i w:val="false"/>
          <w:iCs w:val="false"/>
          <w:sz w:val="18"/>
          <w:szCs w:val="18"/>
        </w:rPr>
        <w:t xml:space="preserve">(ii) Прочее:</w:t>
      </w:r>
      <w:r>
        <w:rPr>
          <w:rFonts w:ascii="Calibri" w:cs="Calibri" w:eastAsia="Calibri" w:hAnsi="Calibri"/>
          <w:b w:val="false"/>
          <w:bCs w:val="false"/>
          <w:i w:val="false"/>
          <w:iCs w:val="false"/>
          <w:sz w:val="18"/>
          <w:szCs w:val="18"/>
        </w:rPr>
        <w:t xml:space="preserve"> рабочая одежда с длинным рукавом.</w:t>
      </w:r>
    </w:p>
    <w:p>
      <w:pPr>
        <w:spacing w:after="60" w:before="0"/>
      </w:pPr>
      <w:r>
        <w:rPr>
          <w:rFonts w:ascii="Calibri" w:cs="Calibri" w:eastAsia="Calibri" w:hAnsi="Calibri"/>
          <w:b/>
          <w:bCs/>
          <w:i w:val="false"/>
          <w:iCs w:val="false"/>
          <w:sz w:val="18"/>
          <w:szCs w:val="18"/>
        </w:rPr>
        <w:t xml:space="preserve">c) Защита дыхательных путей:</w:t>
      </w:r>
    </w:p>
    <w:p>
      <w:pPr>
        <w:spacing w:after="60" w:before="0"/>
      </w:pPr>
      <w:r>
        <w:rPr>
          <w:rFonts w:ascii="Calibri" w:cs="Calibri" w:eastAsia="Calibri" w:hAnsi="Calibri"/>
          <w:b w:val="false"/>
          <w:bCs w:val="false"/>
          <w:i w:val="false"/>
          <w:iCs w:val="false"/>
          <w:sz w:val="18"/>
          <w:szCs w:val="18"/>
        </w:rPr>
        <w:t xml:space="preserve">Средства защиты дыхательных путей не требуются в нормальных условиях работы. При возникновении в воздухе высоких концентраций пыли высохшего продукта следует применять противопылевую маску (P2 или P3) либо изолирующие средства защиты дыхательных путей с независимым источником воздуха.</w:t>
      </w:r>
    </w:p>
    <w:p>
      <w:pPr>
        <w:spacing w:after="60" w:before="0"/>
      </w:pPr>
      <w:r>
        <w:rPr>
          <w:rFonts w:ascii="Calibri" w:cs="Calibri" w:eastAsia="Calibri" w:hAnsi="Calibri"/>
          <w:b/>
          <w:bCs/>
          <w:i w:val="false"/>
          <w:iCs w:val="false"/>
          <w:sz w:val="18"/>
          <w:szCs w:val="18"/>
        </w:rPr>
        <w:t xml:space="preserve">d) Термические опасности:</w:t>
      </w:r>
      <w:r>
        <w:rPr>
          <w:rFonts w:ascii="Calibri" w:cs="Calibri" w:eastAsia="Calibri" w:hAnsi="Calibri"/>
          <w:b w:val="false"/>
          <w:bCs w:val="false"/>
          <w:i w:val="false"/>
          <w:iCs w:val="false"/>
          <w:sz w:val="18"/>
          <w:szCs w:val="18"/>
        </w:rPr>
        <w:t xml:space="preserve"> отсутствуют.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Когда концентрация вещества установлена и известна, выбор средств индивидуальной защиты следует производить с учётом концентрации вещества на данном рабочем месте, времени экспозиции и выполняемых работником операций. В аварийной ситуации, если концентрация вещества на рабочем месте неизвестна, применять средства индивидуальной защиты наивысшего рекомендуемого класса защиты.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Средства индивидуальной защиты должны соответствовать требованиям, установленным соответствующими нормативными актами (см. раздел 15).</w:t>
      </w:r>
    </w:p>
    <w:p>
      <w:pPr>
        <w:spacing w:after="60" w:before="0"/>
      </w:pPr>
      <w:r>
        <w:rPr>
          <w:rFonts w:ascii="Calibri" w:cs="Calibri" w:eastAsia="Calibri" w:hAnsi="Calibri"/>
          <w:b/>
          <w:bCs/>
          <w:i w:val="false"/>
          <w:iCs w:val="false"/>
          <w:sz w:val="18"/>
          <w:szCs w:val="18"/>
        </w:rPr>
        <w:t xml:space="preserve">8.2.3. Контроль воздействия на окружающую среду</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предельно допустимое значение концентрации легкооседающих взвесей в сточных водах, отводимых в канализационные устройства, составляет 10 мл/л, допустимый диапазон pH — 6,5–9,5;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прочие показатели — см. нормативные акты (раздел 15).</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9: ФИЗИЧЕСКИЕ И ХИМИЧЕСКИЕ СВОЙСТВА</w:t>
            </w:r>
          </w:p>
        </w:tc>
      </w:tr>
    </w:tbl>
    <w:p>
      <w:pPr>
        <w:spacing w:after="60" w:before="0"/>
      </w:pPr>
    </w:p>
    <w:p>
      <w:pPr>
        <w:spacing w:after="40" w:before="140"/>
      </w:pPr>
      <w:r>
        <w:rPr>
          <w:rFonts w:ascii="Calibri" w:cs="Calibri" w:eastAsia="Calibri" w:hAnsi="Calibri"/>
          <w:b/>
          <w:bCs/>
          <w:i w:val="false"/>
          <w:iCs w:val="false"/>
          <w:sz w:val="18"/>
          <w:szCs w:val="18"/>
        </w:rPr>
        <w:t xml:space="preserve">9.1. Информация об основных физических и химических свойствах</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rPr>
          <w:tblHeader/>
        </w:trP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Свойство</w:t>
            </w:r>
          </w:p>
        </w:tc>
        <w:tc>
          <w:tcPr>
            <w:tcW w:type="dxa" w:w="6855"/>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Агрегатное состояние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Жидкость, густая</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Цвет</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Бежевый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Запах</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Без запаха</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плавления/затвердевания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Начальная температура кипения и диапазон температур кипения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данные измерений для продукта; компоненты &gt;300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Горючесть материалов</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Содержит компоненты негорючие или горючие при высоких температурах (температура вспышки &gt;200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Нижний и верхний пределы взрываемости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Компоненты не являются взрывчатыми; пыль высохшего клея может образовывать взрывоопасные смеси с воздухом</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вспышки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250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самовоспламенения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для продукта — отсутствуют данные измерений; компоненты &gt;400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разложения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в нормальных условиях применения разложение не происходит; разложение некоторых компонентов возможно при температуре &gt;400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pH</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определён для продукта — отсутствуют данные измерений; компоненты 7 – 9,5</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Кинематическая вязкость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для продукта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Растворимость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Частично растворяется в воде, количественные данные отсутствуют</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распределения н-октанол/вода (log Pow)</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18,10 (касторовое масло)</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Давление паров</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Плотность или относительная плотность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ок. 1,6 кг/дм³ (при температуре 25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Относительная плотность паров</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Характеристика частиц</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жидкость</w:t>
            </w:r>
          </w:p>
        </w:tc>
      </w:tr>
    </w:tbl>
    <w:p>
      <w:pPr>
        <w:spacing w:after="80" w:before="0"/>
      </w:pPr>
    </w:p>
    <w:p>
      <w:pPr>
        <w:spacing w:after="40" w:before="140"/>
      </w:pPr>
      <w:r>
        <w:rPr>
          <w:rFonts w:ascii="Calibri" w:cs="Calibri" w:eastAsia="Calibri" w:hAnsi="Calibri"/>
          <w:b/>
          <w:bCs/>
          <w:i w:val="false"/>
          <w:iCs w:val="false"/>
          <w:sz w:val="18"/>
          <w:szCs w:val="18"/>
        </w:rPr>
        <w:t xml:space="preserve">9.2. Прочая информация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rPr>
          <w:tblHeader/>
        </w:trP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Свойство</w:t>
            </w:r>
          </w:p>
        </w:tc>
        <w:tc>
          <w:tcPr>
            <w:tcW w:type="dxa" w:w="6855"/>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Взрывчатые свойства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Компоненты не являются взрывчатыми; пыль может образовывать взрывоопасные смеси с воздухом</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Окислительные свойства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w:t>
            </w:r>
          </w:p>
        </w:tc>
      </w:tr>
    </w:tbl>
    <w:p>
      <w:pPr>
        <w:spacing w:after="80" w:before="0"/>
      </w:pPr>
    </w:p>
    <w:p>
      <w:pPr>
        <w:spacing w:after="60" w:before="0"/>
      </w:pPr>
      <w:r>
        <w:rPr>
          <w:rFonts w:ascii="Calibri" w:cs="Calibri" w:eastAsia="Calibri" w:hAnsi="Calibri"/>
          <w:b w:val="false"/>
          <w:bCs w:val="false"/>
          <w:i/>
          <w:iCs/>
          <w:sz w:val="18"/>
          <w:szCs w:val="18"/>
        </w:rPr>
        <w:t xml:space="preserve">Приведённые выше физические данные являются лишь типовыми величинами и не должны интерпретироваться как спецификация.</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10: СТАБИЛЬНОСТЬ И РЕАКЦИОННАЯ СПОСОБНОСТЬ</w:t>
            </w:r>
          </w:p>
        </w:tc>
      </w:tr>
    </w:tbl>
    <w:p>
      <w:pPr>
        <w:spacing w:after="60" w:before="0"/>
      </w:pPr>
    </w:p>
    <w:p>
      <w:pPr>
        <w:spacing w:after="40" w:before="140"/>
      </w:pPr>
      <w:r>
        <w:rPr>
          <w:rFonts w:ascii="Calibri" w:cs="Calibri" w:eastAsia="Calibri" w:hAnsi="Calibri"/>
          <w:b/>
          <w:bCs/>
          <w:i w:val="false"/>
          <w:iCs w:val="false"/>
          <w:sz w:val="18"/>
          <w:szCs w:val="18"/>
        </w:rPr>
        <w:t xml:space="preserve">10.1. Реакционная способность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Карбонат кальция реагирует с кислотами с выделением диоксида углерода — реакция экзотермическая.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Может экзотермически реагировать с сильными окислителями, кислотами, сильными основаниями и мономерными изоцианатами.</w:t>
      </w:r>
    </w:p>
    <w:p>
      <w:pPr>
        <w:spacing w:after="40" w:before="140"/>
      </w:pPr>
      <w:r>
        <w:rPr>
          <w:rFonts w:ascii="Calibri" w:cs="Calibri" w:eastAsia="Calibri" w:hAnsi="Calibri"/>
          <w:b/>
          <w:bCs/>
          <w:i w:val="false"/>
          <w:iCs w:val="false"/>
          <w:sz w:val="18"/>
          <w:szCs w:val="18"/>
        </w:rPr>
        <w:t xml:space="preserve">10.2. Химическая стабильность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рекомендуемых условиях применения и хранения продукт стабилен.</w:t>
      </w:r>
    </w:p>
    <w:p>
      <w:pPr>
        <w:spacing w:after="40" w:before="140"/>
      </w:pPr>
      <w:r>
        <w:rPr>
          <w:rFonts w:ascii="Calibri" w:cs="Calibri" w:eastAsia="Calibri" w:hAnsi="Calibri"/>
          <w:b/>
          <w:bCs/>
          <w:i w:val="false"/>
          <w:iCs w:val="false"/>
          <w:sz w:val="18"/>
          <w:szCs w:val="18"/>
        </w:rPr>
        <w:t xml:space="preserve">10.3. Возможность опасных реакций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См. подраздел 10.1.</w:t>
      </w:r>
    </w:p>
    <w:p>
      <w:pPr>
        <w:spacing w:after="40" w:before="140"/>
      </w:pPr>
      <w:r>
        <w:rPr>
          <w:rFonts w:ascii="Calibri" w:cs="Calibri" w:eastAsia="Calibri" w:hAnsi="Calibri"/>
          <w:b/>
          <w:bCs/>
          <w:i w:val="false"/>
          <w:iCs w:val="false"/>
          <w:sz w:val="18"/>
          <w:szCs w:val="18"/>
        </w:rPr>
        <w:t xml:space="preserve">10.4. Условия, которых следует избегать</w:t>
      </w:r>
    </w:p>
    <w:p>
      <w:pPr>
        <w:spacing w:after="60" w:before="0"/>
      </w:pPr>
      <w:r>
        <w:rPr>
          <w:rFonts w:ascii="Calibri" w:cs="Calibri" w:eastAsia="Calibri" w:hAnsi="Calibri"/>
          <w:b w:val="false"/>
          <w:bCs w:val="false"/>
          <w:i w:val="false"/>
          <w:iCs w:val="false"/>
          <w:sz w:val="18"/>
          <w:szCs w:val="18"/>
        </w:rPr>
        <w:t xml:space="preserve">Избегать чрезмерного нагрева продукта и образования аэрозолей.</w:t>
      </w:r>
    </w:p>
    <w:p>
      <w:pPr>
        <w:spacing w:after="40" w:before="140"/>
      </w:pPr>
      <w:r>
        <w:rPr>
          <w:rFonts w:ascii="Calibri" w:cs="Calibri" w:eastAsia="Calibri" w:hAnsi="Calibri"/>
          <w:b/>
          <w:bCs/>
          <w:i w:val="false"/>
          <w:iCs w:val="false"/>
          <w:sz w:val="18"/>
          <w:szCs w:val="18"/>
        </w:rPr>
        <w:t xml:space="preserve">10.5. Несовместимые материалы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Общим правилом является избегание контакта с другими химическими веществами, если этого не требует технологический процесс.</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 частности, следует избегать контакта с сильными окислителями и кислотами — при реакции с кислотами образуется, в частности, диоксид углерода.</w:t>
      </w:r>
    </w:p>
    <w:p>
      <w:pPr>
        <w:spacing w:after="40" w:before="140"/>
      </w:pPr>
      <w:r>
        <w:rPr>
          <w:rFonts w:ascii="Calibri" w:cs="Calibri" w:eastAsia="Calibri" w:hAnsi="Calibri"/>
          <w:b/>
          <w:bCs/>
          <w:i w:val="false"/>
          <w:iCs w:val="false"/>
          <w:sz w:val="18"/>
          <w:szCs w:val="18"/>
        </w:rPr>
        <w:t xml:space="preserve">10.6. Опасные продукты разложения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 нормальных условиях хранения и применения опасное разложение продукта происходить не должно. Продукты разложения при пожаре — см. подраздел 5.2.</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11: ТОКСИКОЛОГИЧЕСКАЯ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11.1. Информация о классах опасности, определённых в Регламенте (ЕС) № 1272/2008</w:t>
      </w:r>
    </w:p>
    <w:p>
      <w:pPr>
        <w:spacing w:after="60" w:before="0"/>
      </w:pPr>
      <w:r>
        <w:rPr>
          <w:rFonts w:ascii="Calibri" w:cs="Calibri" w:eastAsia="Calibri" w:hAnsi="Calibri"/>
          <w:b w:val="false"/>
          <w:bCs w:val="false"/>
          <w:i w:val="false"/>
          <w:iCs w:val="false"/>
          <w:sz w:val="18"/>
          <w:szCs w:val="18"/>
        </w:rPr>
        <w:t xml:space="preserve">Токсикологические испытания для описываемого продукта не проводились. Оценка токсичности выполнена на основании данных для компонентов смеси. Ни один из компонентов не классифицирован как представляющий опасность для здоровья или жизни человека.</w:t>
      </w:r>
    </w:p>
    <w:p>
      <w:pPr>
        <w:spacing w:after="60" w:before="0"/>
      </w:pPr>
      <w:r>
        <w:rPr>
          <w:rFonts w:ascii="Calibri" w:cs="Calibri" w:eastAsia="Calibri" w:hAnsi="Calibri"/>
          <w:b/>
          <w:bCs/>
          <w:i w:val="false"/>
          <w:iCs w:val="false"/>
          <w:sz w:val="18"/>
          <w:szCs w:val="18"/>
        </w:rPr>
        <w:t xml:space="preserve">a) острая токсичность</w:t>
      </w:r>
    </w:p>
    <w:p>
      <w:pPr>
        <w:spacing w:after="60" w:before="0"/>
      </w:pPr>
      <w:r>
        <w:rPr>
          <w:rFonts w:ascii="Calibri" w:cs="Calibri" w:eastAsia="Calibri" w:hAnsi="Calibri"/>
          <w:b w:val="false"/>
          <w:bCs w:val="false"/>
          <w:i w:val="false"/>
          <w:iCs w:val="false"/>
          <w:sz w:val="18"/>
          <w:szCs w:val="18"/>
        </w:rPr>
        <w:t xml:space="preserve">Не требует классификации — не содержит компонентов, классифицированных по классу опасности «острая токсичность».</w:t>
      </w:r>
    </w:p>
    <w:p>
      <w:pPr>
        <w:spacing w:after="60" w:before="0"/>
      </w:pPr>
      <w:r>
        <w:rPr>
          <w:rFonts w:ascii="Calibri" w:cs="Calibri" w:eastAsia="Calibri" w:hAnsi="Calibri"/>
          <w:b w:val="false"/>
          <w:bCs w:val="false"/>
          <w:i w:val="false"/>
          <w:iCs w:val="false"/>
          <w:sz w:val="18"/>
          <w:szCs w:val="18"/>
        </w:rPr>
        <w:t xml:space="preserve">Симптомы отравления при поступлении через пищеварительный тракт: раздражение слизистых оболочек пищеварительного тракта (боли в животе, тошнота, рвота, диарея). Оказывает сильное слабительное действие.</w:t>
      </w:r>
    </w:p>
    <w:p>
      <w:pPr>
        <w:spacing w:after="60" w:before="0"/>
      </w:pPr>
      <w:r>
        <w:rPr>
          <w:rFonts w:ascii="Calibri" w:cs="Calibri" w:eastAsia="Calibri" w:hAnsi="Calibri"/>
          <w:b w:val="false"/>
          <w:bCs w:val="false"/>
          <w:i w:val="false"/>
          <w:iCs w:val="false"/>
          <w:sz w:val="18"/>
          <w:szCs w:val="18"/>
        </w:rPr>
        <w:t xml:space="preserve">Ингаляционное воздействие паров или аэрозолей продукта при нормальной работе маловероятно вследствие физико-химической формы (маслянистая жидкость). Вдыхание пыли высохшего продукта может вызвать раздражение верхних дыхательных путей (кашель, затруднённое дыхание).</w:t>
      </w:r>
    </w:p>
    <w:p>
      <w:pPr>
        <w:spacing w:after="60" w:before="0"/>
      </w:pPr>
      <w:r>
        <w:rPr>
          <w:rFonts w:ascii="Calibri" w:cs="Calibri" w:eastAsia="Calibri" w:hAnsi="Calibri"/>
          <w:b w:val="false"/>
          <w:bCs w:val="false"/>
          <w:i w:val="false"/>
          <w:iCs w:val="false"/>
          <w:sz w:val="18"/>
          <w:szCs w:val="18"/>
        </w:rPr>
        <w:t xml:space="preserve">Токсичные дозы и концентрации для животных: медианы смертельных доз компонентов — LD50 (крыса, внутрижелудочно) &gt;2000 мг/кг.</w:t>
      </w:r>
    </w:p>
    <w:p>
      <w:pPr>
        <w:spacing w:after="60" w:before="0"/>
      </w:pPr>
      <w:r>
        <w:rPr>
          <w:rFonts w:ascii="Calibri" w:cs="Calibri" w:eastAsia="Calibri" w:hAnsi="Calibri"/>
          <w:b w:val="false"/>
          <w:bCs w:val="false"/>
          <w:i w:val="false"/>
          <w:iCs w:val="false"/>
          <w:sz w:val="18"/>
          <w:szCs w:val="18"/>
        </w:rPr>
        <w:t xml:space="preserve">Токсичные дозы и концентрации для человека: данные по компонентам отсутствуют.</w:t>
      </w:r>
    </w:p>
    <w:p>
      <w:pPr>
        <w:spacing w:after="60" w:before="0"/>
      </w:pPr>
      <w:r>
        <w:rPr>
          <w:rFonts w:ascii="Calibri" w:cs="Calibri" w:eastAsia="Calibri" w:hAnsi="Calibri"/>
          <w:b/>
          <w:bCs/>
          <w:i w:val="false"/>
          <w:iCs w:val="false"/>
          <w:sz w:val="18"/>
          <w:szCs w:val="18"/>
        </w:rPr>
        <w:t xml:space="preserve">b) разъедание/раздражение кожи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При контакте с кожей у особо чувствительных лиц может возникнуть незначительное раздражение кожи.</w:t>
      </w:r>
    </w:p>
    <w:p>
      <w:pPr>
        <w:spacing w:after="60" w:before="0"/>
      </w:pPr>
      <w:r>
        <w:rPr>
          <w:rFonts w:ascii="Calibri" w:cs="Calibri" w:eastAsia="Calibri" w:hAnsi="Calibri"/>
          <w:b/>
          <w:bCs/>
          <w:i w:val="false"/>
          <w:iCs w:val="false"/>
          <w:sz w:val="18"/>
          <w:szCs w:val="18"/>
        </w:rPr>
        <w:t xml:space="preserve">c) серьёзное повреждение глаз/раздражение глаз</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При непосредственном контакте с глазом может возникнуть механическое раздражение, покраснение, слезотечение.</w:t>
      </w:r>
    </w:p>
    <w:p>
      <w:pPr>
        <w:spacing w:after="60" w:before="0"/>
      </w:pPr>
      <w:r>
        <w:rPr>
          <w:rFonts w:ascii="Calibri" w:cs="Calibri" w:eastAsia="Calibri" w:hAnsi="Calibri"/>
          <w:b/>
          <w:bCs/>
          <w:i w:val="false"/>
          <w:iCs w:val="false"/>
          <w:sz w:val="18"/>
          <w:szCs w:val="18"/>
        </w:rPr>
        <w:t xml:space="preserve">d) сенсибилизирующее действие на дыхательные пути или кожу</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e) мутагенное действие на клетки зародышевой линии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f) канцерогенное 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g) вредное воздействие на репродуктивную функцию</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h) специфическая токсичность на органы-мишени — однократное воздействие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i) специфическая токсичность на органы-мишени — повторное воздействие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j) опасность при аспирации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Пути воздействия:</w:t>
      </w:r>
      <w:r>
        <w:rPr>
          <w:rFonts w:ascii="Calibri" w:cs="Calibri" w:eastAsia="Calibri" w:hAnsi="Calibri"/>
          <w:b w:val="false"/>
          <w:bCs w:val="false"/>
          <w:i w:val="false"/>
          <w:iCs w:val="false"/>
          <w:sz w:val="18"/>
          <w:szCs w:val="18"/>
        </w:rPr>
        <w:t xml:space="preserve"> глаза, кожа, пищеварительный тракт, дыхательная система.</w:t>
      </w:r>
    </w:p>
    <w:p>
      <w:pPr>
        <w:spacing w:after="40" w:before="140"/>
      </w:pPr>
      <w:r>
        <w:rPr>
          <w:rFonts w:ascii="Calibri" w:cs="Calibri" w:eastAsia="Calibri" w:hAnsi="Calibri"/>
          <w:b/>
          <w:bCs/>
          <w:i w:val="false"/>
          <w:iCs w:val="false"/>
          <w:sz w:val="18"/>
          <w:szCs w:val="18"/>
        </w:rPr>
        <w:t xml:space="preserve">11.2. Информация о прочих опасностях</w:t>
      </w:r>
    </w:p>
    <w:p>
      <w:pPr>
        <w:spacing w:after="60" w:before="0"/>
      </w:pPr>
      <w:r>
        <w:rPr>
          <w:rFonts w:ascii="Calibri" w:cs="Calibri" w:eastAsia="Calibri" w:hAnsi="Calibri"/>
          <w:b w:val="false"/>
          <w:bCs w:val="false"/>
          <w:i w:val="false"/>
          <w:iCs w:val="false"/>
          <w:sz w:val="18"/>
          <w:szCs w:val="18"/>
        </w:rPr>
        <w:t xml:space="preserve">Данные о прочих опасностях отсутствуют.</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12: ЭКОЛОГИЧЕСКАЯ ИНФОРМАЦИЯ</w:t>
            </w:r>
          </w:p>
        </w:tc>
      </w:tr>
    </w:tbl>
    <w:p>
      <w:pPr>
        <w:spacing w:after="60" w:before="0"/>
      </w:pPr>
    </w:p>
    <w:p>
      <w:pPr>
        <w:spacing w:after="60" w:before="0"/>
      </w:pPr>
      <w:r>
        <w:rPr>
          <w:rFonts w:ascii="Calibri" w:cs="Calibri" w:eastAsia="Calibri" w:hAnsi="Calibri"/>
          <w:b w:val="false"/>
          <w:bCs w:val="false"/>
          <w:i w:val="false"/>
          <w:iCs w:val="false"/>
          <w:sz w:val="18"/>
          <w:szCs w:val="18"/>
        </w:rPr>
        <w:t xml:space="preserve">Согласно действующим нормативным актам (раздел 15) продукт не классифицирован как представляющий опасность для окружающей среды (расчётный метод). Не содержит компонентов, классифицированных как представляющие опасность для окружающей среды. Не представляет опасности для озонового слоя. Не содержит ЛОС (VOC).</w:t>
      </w:r>
    </w:p>
    <w:p>
      <w:pPr>
        <w:spacing w:after="60" w:before="0"/>
      </w:pPr>
      <w:r>
        <w:rPr>
          <w:rFonts w:ascii="Calibri" w:cs="Calibri" w:eastAsia="Calibri" w:hAnsi="Calibri"/>
          <w:b w:val="false"/>
          <w:bCs w:val="false"/>
          <w:i w:val="false"/>
          <w:iCs w:val="false"/>
          <w:sz w:val="18"/>
          <w:szCs w:val="18"/>
        </w:rPr>
        <w:t xml:space="preserve">Известняк присутствует в земной коре, а растворённый карбонат кальция (растворимость порядка десятка с небольшим мг/л) — в природных водах.</w:t>
      </w:r>
    </w:p>
    <w:p>
      <w:pPr>
        <w:spacing w:after="40" w:before="140"/>
      </w:pPr>
      <w:r>
        <w:rPr>
          <w:rFonts w:ascii="Calibri" w:cs="Calibri" w:eastAsia="Calibri" w:hAnsi="Calibri"/>
          <w:b/>
          <w:bCs/>
          <w:i w:val="false"/>
          <w:iCs w:val="false"/>
          <w:sz w:val="18"/>
          <w:szCs w:val="18"/>
        </w:rPr>
        <w:t xml:space="preserve">12.1. Токсичность</w:t>
      </w:r>
    </w:p>
    <w:p>
      <w:pPr>
        <w:spacing w:after="60" w:before="0"/>
      </w:pPr>
      <w:r>
        <w:rPr>
          <w:rFonts w:ascii="Calibri" w:cs="Calibri" w:eastAsia="Calibri" w:hAnsi="Calibri"/>
          <w:b w:val="false"/>
          <w:bCs w:val="false"/>
          <w:i w:val="false"/>
          <w:iCs w:val="false"/>
          <w:sz w:val="18"/>
          <w:szCs w:val="18"/>
        </w:rPr>
        <w:t xml:space="preserve">Токсичность компонентов смеси для рыб, ракообразных, водорослей и бактерий составляет более 100 мг/л.</w:t>
      </w:r>
    </w:p>
    <w:p>
      <w:pPr>
        <w:spacing w:after="40" w:before="140"/>
      </w:pPr>
      <w:r>
        <w:rPr>
          <w:rFonts w:ascii="Calibri" w:cs="Calibri" w:eastAsia="Calibri" w:hAnsi="Calibri"/>
          <w:b/>
          <w:bCs/>
          <w:i w:val="false"/>
          <w:iCs w:val="false"/>
          <w:sz w:val="18"/>
          <w:szCs w:val="18"/>
        </w:rPr>
        <w:t xml:space="preserve">12.2. Стойкость и способность к разложению</w:t>
      </w:r>
    </w:p>
    <w:p>
      <w:pPr>
        <w:spacing w:after="60" w:before="0"/>
      </w:pPr>
      <w:r>
        <w:rPr>
          <w:rFonts w:ascii="Calibri" w:cs="Calibri" w:eastAsia="Calibri" w:hAnsi="Calibri"/>
          <w:b w:val="false"/>
          <w:bCs w:val="false"/>
          <w:i w:val="false"/>
          <w:iCs w:val="false"/>
          <w:sz w:val="18"/>
          <w:szCs w:val="18"/>
        </w:rPr>
        <w:t xml:space="preserve">Органические компоненты биоразлагаемы либо информация о них отсутствует. Остальные компоненты являются неорганическими.</w:t>
      </w:r>
    </w:p>
    <w:p>
      <w:pPr>
        <w:spacing w:after="40" w:before="140"/>
      </w:pPr>
      <w:r>
        <w:rPr>
          <w:rFonts w:ascii="Calibri" w:cs="Calibri" w:eastAsia="Calibri" w:hAnsi="Calibri"/>
          <w:b/>
          <w:bCs/>
          <w:i w:val="false"/>
          <w:iCs w:val="false"/>
          <w:sz w:val="18"/>
          <w:szCs w:val="18"/>
        </w:rPr>
        <w:t xml:space="preserve">12.3. Способность к биоаккумуляции</w:t>
      </w:r>
    </w:p>
    <w:p>
      <w:pPr>
        <w:spacing w:after="60" w:before="0"/>
      </w:pPr>
      <w:r>
        <w:rPr>
          <w:rFonts w:ascii="Calibri" w:cs="Calibri" w:eastAsia="Calibri" w:hAnsi="Calibri"/>
          <w:b w:val="false"/>
          <w:bCs w:val="false"/>
          <w:i w:val="false"/>
          <w:iCs w:val="false"/>
          <w:sz w:val="18"/>
          <w:szCs w:val="18"/>
        </w:rPr>
        <w:t xml:space="preserve">Касторовое масло и его производные могут подвергаться биоаккумуляции (на основании значения log Kow).</w:t>
      </w:r>
    </w:p>
    <w:p>
      <w:pPr>
        <w:spacing w:after="40" w:before="140"/>
      </w:pPr>
      <w:r>
        <w:rPr>
          <w:rFonts w:ascii="Calibri" w:cs="Calibri" w:eastAsia="Calibri" w:hAnsi="Calibri"/>
          <w:b/>
          <w:bCs/>
          <w:i w:val="false"/>
          <w:iCs w:val="false"/>
          <w:sz w:val="18"/>
          <w:szCs w:val="18"/>
        </w:rPr>
        <w:t xml:space="preserve">12.4. Подвижность в почве</w:t>
      </w:r>
    </w:p>
    <w:p>
      <w:pPr>
        <w:spacing w:after="60" w:before="0"/>
      </w:pPr>
      <w:r>
        <w:rPr>
          <w:rFonts w:ascii="Calibri" w:cs="Calibri" w:eastAsia="Calibri" w:hAnsi="Calibri"/>
          <w:b w:val="false"/>
          <w:bCs w:val="false"/>
          <w:i w:val="false"/>
          <w:iCs w:val="false"/>
          <w:sz w:val="18"/>
          <w:szCs w:val="18"/>
        </w:rPr>
        <w:t xml:space="preserve">Известняк присутствует в земной коре.</w:t>
      </w:r>
    </w:p>
    <w:p>
      <w:pPr>
        <w:spacing w:after="40" w:before="140"/>
      </w:pPr>
      <w:r>
        <w:rPr>
          <w:rFonts w:ascii="Calibri" w:cs="Calibri" w:eastAsia="Calibri" w:hAnsi="Calibri"/>
          <w:b/>
          <w:bCs/>
          <w:i w:val="false"/>
          <w:iCs w:val="false"/>
          <w:sz w:val="18"/>
          <w:szCs w:val="18"/>
        </w:rPr>
        <w:t xml:space="preserve">12.5. Результаты оценки свойств PBT и vPvB</w:t>
      </w:r>
    </w:p>
    <w:p>
      <w:pPr>
        <w:spacing w:after="60" w:before="0"/>
      </w:pPr>
      <w:r>
        <w:rPr>
          <w:rFonts w:ascii="Calibri" w:cs="Calibri" w:eastAsia="Calibri" w:hAnsi="Calibri"/>
          <w:b w:val="false"/>
          <w:bCs w:val="false"/>
          <w:i w:val="false"/>
          <w:iCs w:val="false"/>
          <w:sz w:val="18"/>
          <w:szCs w:val="18"/>
        </w:rPr>
        <w:t xml:space="preserve">Компоненты не признаны веществами СБТ (PBT) или оСБсБ (vPvB).</w:t>
      </w:r>
    </w:p>
    <w:p>
      <w:pPr>
        <w:spacing w:after="40" w:before="140"/>
      </w:pPr>
      <w:r>
        <w:rPr>
          <w:rFonts w:ascii="Calibri" w:cs="Calibri" w:eastAsia="Calibri" w:hAnsi="Calibri"/>
          <w:b/>
          <w:bCs/>
          <w:i w:val="false"/>
          <w:iCs w:val="false"/>
          <w:sz w:val="18"/>
          <w:szCs w:val="18"/>
        </w:rPr>
        <w:t xml:space="preserve">12.6. Свойства эндокринных разрушителей</w:t>
      </w:r>
    </w:p>
    <w:p>
      <w:pPr>
        <w:spacing w:after="60" w:before="0"/>
      </w:pPr>
      <w:r>
        <w:rPr>
          <w:rFonts w:ascii="Calibri" w:cs="Calibri" w:eastAsia="Calibri" w:hAnsi="Calibri"/>
          <w:b w:val="false"/>
          <w:bCs w:val="false"/>
          <w:i w:val="false"/>
          <w:iCs w:val="false"/>
          <w:sz w:val="18"/>
          <w:szCs w:val="18"/>
        </w:rPr>
        <w:t xml:space="preserve">Ни один из компонентов не внесён в перечень, установленный согласно ст. 59 п. 1 REACH, как вещество, нарушающее функционирование эндокринной системы, и не признан таковым согласно критериям, определённым регламентами Комиссии (ЕС) № 2017/2100 или 2018/605.</w:t>
      </w:r>
    </w:p>
    <w:p>
      <w:pPr>
        <w:spacing w:after="40" w:before="140"/>
      </w:pPr>
      <w:r>
        <w:rPr>
          <w:rFonts w:ascii="Calibri" w:cs="Calibri" w:eastAsia="Calibri" w:hAnsi="Calibri"/>
          <w:b/>
          <w:bCs/>
          <w:i w:val="false"/>
          <w:iCs w:val="false"/>
          <w:sz w:val="18"/>
          <w:szCs w:val="18"/>
        </w:rPr>
        <w:t xml:space="preserve">12.7. Прочие неблагоприятные последствия воздействия</w:t>
      </w:r>
    </w:p>
    <w:p>
      <w:pPr>
        <w:spacing w:after="60" w:before="0"/>
      </w:pPr>
      <w:r>
        <w:rPr>
          <w:rFonts w:ascii="Calibri" w:cs="Calibri" w:eastAsia="Calibri" w:hAnsi="Calibri"/>
          <w:b w:val="false"/>
          <w:bCs w:val="false"/>
          <w:i w:val="false"/>
          <w:iCs w:val="false"/>
          <w:sz w:val="18"/>
          <w:szCs w:val="18"/>
        </w:rPr>
        <w:t xml:space="preserve">Высокие концентрации взвесей карбоната кальция в природных водоёмах могут вызывать нарушения микрофлоры и микрофауны в осадке и оказывать негативное влияние на высшие водные организмы. Избегать сбросов в окружающую среду, не допускать загрязнения продуктом почвы и поверхностных вод, не удалять большие количества в канализацию.</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13: РЕКОМЕНДАЦИИ ПО УТИЛИЗАЦИИ</w:t>
            </w:r>
          </w:p>
        </w:tc>
      </w:tr>
    </w:tbl>
    <w:p>
      <w:pPr>
        <w:spacing w:after="60" w:before="0"/>
      </w:pPr>
    </w:p>
    <w:p>
      <w:pPr>
        <w:spacing w:after="40" w:before="140"/>
      </w:pPr>
      <w:r>
        <w:rPr>
          <w:rFonts w:ascii="Calibri" w:cs="Calibri" w:eastAsia="Calibri" w:hAnsi="Calibri"/>
          <w:b/>
          <w:bCs/>
          <w:i w:val="false"/>
          <w:iCs w:val="false"/>
          <w:sz w:val="18"/>
          <w:szCs w:val="18"/>
        </w:rPr>
        <w:t xml:space="preserve">13.1. Методы обезвреживания отходов</w:t>
      </w:r>
    </w:p>
    <w:p>
      <w:pPr>
        <w:spacing w:after="60" w:before="0"/>
      </w:pPr>
      <w:r>
        <w:rPr>
          <w:rFonts w:ascii="Calibri" w:cs="Calibri" w:eastAsia="Calibri" w:hAnsi="Calibri"/>
          <w:b w:val="false"/>
          <w:bCs w:val="false"/>
          <w:i w:val="false"/>
          <w:iCs w:val="false"/>
          <w:sz w:val="18"/>
          <w:szCs w:val="18"/>
        </w:rPr>
        <w:t xml:space="preserve">Ликвидацию собранных отходов проводить в соответствии с действующими нормативными актами (см. ниже и раздел 15). Образования отходов следует избегать или сводить его к минимуму, если это возможно. Следует избегать распространения разлитого материала, его стекания в почву или контакта с почвой, водотоками, дренажами и канализацией. Отходы продукта передать лицензированному предприятию по утилизации отходов. Утилизация настоящего продукта, растворов или производных продуктов должна в каждом случае соответствовать требованиям охраны окружающей среды и законодательства, связанного с утилизацией отходов, а также требованиям местных органов власти.</w:t>
      </w:r>
    </w:p>
    <w:p>
      <w:pPr>
        <w:spacing w:after="60" w:before="0"/>
      </w:pPr>
      <w:r>
        <w:rPr>
          <w:rFonts w:ascii="Calibri" w:cs="Calibri" w:eastAsia="Calibri" w:hAnsi="Calibri"/>
          <w:b/>
          <w:bCs/>
          <w:i w:val="false"/>
          <w:iCs w:val="false"/>
          <w:sz w:val="18"/>
          <w:szCs w:val="18"/>
        </w:rPr>
        <w:t xml:space="preserve">Классификация отходов согласно Европейскому каталогу отходов (EWC):</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код 08 04 10 — отходы клеёв и герметиков, отличные от указанных в 08 04 09 (под кодом 08 04 09 находятся отходы клеёв и герметиков, содержащие органические растворители или другие опасные вещества).</w:t>
      </w:r>
    </w:p>
    <w:p>
      <w:pPr>
        <w:spacing w:after="60" w:before="0"/>
      </w:pPr>
      <w:r>
        <w:rPr>
          <w:rFonts w:ascii="Calibri" w:cs="Calibri" w:eastAsia="Calibri" w:hAnsi="Calibri"/>
          <w:b w:val="false"/>
          <w:bCs w:val="false"/>
          <w:i w:val="false"/>
          <w:iCs w:val="false"/>
          <w:sz w:val="18"/>
          <w:szCs w:val="18"/>
        </w:rPr>
        <w:t xml:space="preserve">Конкретный код отхода следует присваивать с учётом места и способа образования отхода.</w:t>
      </w:r>
    </w:p>
    <w:p>
      <w:pPr>
        <w:spacing w:after="60" w:before="0"/>
      </w:pPr>
      <w:r>
        <w:rPr>
          <w:rFonts w:ascii="Calibri" w:cs="Calibri" w:eastAsia="Calibri" w:hAnsi="Calibri"/>
          <w:b w:val="false"/>
          <w:bCs w:val="false"/>
          <w:i w:val="false"/>
          <w:iCs w:val="false"/>
          <w:sz w:val="18"/>
          <w:szCs w:val="18"/>
        </w:rPr>
        <w:t xml:space="preserve">Ссылки на нормативные акты Сообщества / национальные нормативные акты — см. раздел 15.</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14: ТРАНСПОРТНАЯ ИНФОРМАЦИЯ</w:t>
            </w:r>
          </w:p>
        </w:tc>
      </w:tr>
    </w:tbl>
    <w:p>
      <w:pPr>
        <w:spacing w:after="6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14.1. Номер ООН (UN) или идентификационный номер ID</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продукт не является опасным грузом согласно транспортным правилам</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14.2. Надлежащее транспортное наименование ООН</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см. выше</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14.3. Класс(-ы) опасности при транспортировании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см. выше</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14.4. Группа упаковки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см. выше</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14.5. Опасность для окружающей среды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см. выше</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14.6. Специальные меры предосторожности для пользователя</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установлены</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14.7. Морская перевозка навалом/наливом согласно документам ИМО</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Продукт не перевозится навалом/наливом</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15: НОРМАТИВНАЯ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15.1. Нормативные акты по безопасности, охране здоровья и защите окружающей среды, специфичные для вещества или смеси</w:t>
      </w:r>
    </w:p>
    <w:p>
      <w:pPr>
        <w:spacing w:after="60" w:before="0"/>
      </w:pPr>
      <w:r>
        <w:rPr>
          <w:rFonts w:ascii="Calibri" w:cs="Calibri" w:eastAsia="Calibri" w:hAnsi="Calibri"/>
          <w:b/>
          <w:bCs/>
          <w:i w:val="false"/>
          <w:iCs w:val="false"/>
          <w:sz w:val="18"/>
          <w:szCs w:val="18"/>
        </w:rPr>
        <w:t xml:space="preserve">Категория Seveso:</w:t>
      </w:r>
      <w:r>
        <w:rPr>
          <w:rFonts w:ascii="Calibri" w:cs="Calibri" w:eastAsia="Calibri" w:hAnsi="Calibri"/>
          <w:b w:val="false"/>
          <w:bCs w:val="false"/>
          <w:i w:val="false"/>
          <w:iCs w:val="false"/>
          <w:sz w:val="18"/>
          <w:szCs w:val="18"/>
        </w:rPr>
        <w:t xml:space="preserve"> отсутствует.</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1907/2006 Европейского парламента и Совета от 18 декабря 2006 г. о регистрации, оценке, выдаче разрешений и применяемых ограничениях в отношении химических веществ (REACH), учреждении Европейского химического агентства, изменяющий директиву 1999/45/EC и отменяющий регламент Совета (ЕЭС) № 793/93 и регламент Комиссии (ЕС) № 1488/94, а также директиву Совета 76/769/EEC и директивы Комиссии 91/155/EEC, 93/67/EEC, 93/105/EC и 2000/21/EC (в исправленной редакции, Официальный журнал ЕС L 136 от 29.05.2007, стр. 3,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Комиссии (ЕС) № 2020/878 от 18 июня 2020 г., изменяющий Приложение II к Регламенту REACH (Официальный журнал L 203 от 26.06.2020, стр. 28).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1272/2008 Европейского парламента и Совета от 16 декабря 2008 г. о классификации, маркировке и упаковке веществ и смесей, изменяющий и отменяющий директивы 67/648/EEC и 1999/45/EC, а также изменяющий регламент (ЕС) № 1907/2006 (Официальный журнал ЕС L 353 от 31.12.2008, стр. 1,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2016/425 Европейского парламента и Совета от 9 марта 2016 г. о средствах индивидуальной защиты и отмене директивы 89/686/EEC (Официальный журнал ЕС L 81 от 31.03.2016, стр. 51).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Республики Польша от 25 февраля 2011 г. о химических веществах и их смесях (Dz.U. 2022 поз. 1816).</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труда и социальной политики от 26 сентября 1997 г. об общих правилах безопасности и гигиены труда (Dz.U. № 169/2003 поз. 1650 с последующими изменениями, в том числе 2021 г. поз. 2088).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30 декабря 2004 г. о безопасности и гигиене труда, связанной с присутствием на рабочем месте химических факторов (Dz.U. 2016 поз. 1488).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и труда от 27 июля 2004 г. об обучении в области безопасности и гигиены труда (Dz.U. № 180/2004 поз. 1860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25 августа 2015 г. о способе обозначения мест, трубопроводов, а также ёмкостей и резервуаров, служащих для хранения или содержащих вещества, представляющие опасность, или смеси, представляющие опасность (Dz.U. 2015 поз. 1368).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семьи, труда и социальной политики от 12 июня 2018 г. о предельно допустимых концентрациях и интенсивностях вредных для здоровья факторов в производственной среде (Dz.U. 2018 поз. 1286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 февраля 2011 г. об исследованиях и измерениях вредных для здоровья факторов в производственной среде (Dz.U. 2023 поз. 419).</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и социального обеспечения от 30 мая 1996 г. о проведении медицинских осмотров работников, объёме профилактического медицинского обслуживания работников и врачебных заключениях, выдаваемых для целей, предусмотренных Трудовым кодексом (Dz.U. 2023 поз. 607).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24 июля 2012 г. о химических веществах, их смесях, факторах или технологических процессах канцерогенного или мутагенного действия в производственной среде (Dz.U. 2021 поз. 2235 с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19 июня 2023 г. о перечне работ, запрещённых несовершеннолетним, и условиях их привлечения к некоторым из этих работ (Dz.U. 2023 поз. 1240).</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19 апреля 2017 г. о перечне работ, обременительных, опасных или вредных для здоровья беременных женщин или женщин, кормящих ребёнка грудью (Dz.U. 2017 поз. 796).</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от 29 января 2016 г. о видах и количествах находящихся на предприятии опасных веществ, определяющих отнесение предприятия к предприятию повышенного или высокого риска возникновения крупной промышленной аварии (Dz.U. 2016 поз. 138) — имплементация директивы 2012/18/EU, так называемой директивы Seveso III.</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24 августа 2012 г. об уровнях некоторых веществ в воздухе (Dz.U. 2021 поз. 845) — имплементация директив 2004/107/EC и 2008/50/EC.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26 января 2010 г. о референсных значениях для некоторых веществ в воздухе (Dz.U. № 16/2010 поз. 87).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строительства от 14 июля 2006 г. о способе выполнения обязанностей поставщиками промышленных сточных вод и условиях сброса сточных вод в канализационные устройства (Dz.U. 2016 поз. 1757).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морского хозяйства и внутреннего судоходства от 12 июля 2019 г. о веществах, особо вредных для водной среды, и условиях, которые следует выполнять при сбросе в воды или в грунт сточных вод, а также при отведении ливневых или талых вод в воды или в водные устройства (Dz.U. 2019 поз. 1311) — имплементация директив 91/271/EEC и 2010/75/EU.</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14 декабря 2012 г. об отходах (Dz.U. 2023 поз. 1587 с последующими изменениями) — имплементация, в частности, директив 99/31/EC, 94/62/EC, 2008/98/EC, 2010/75/EU и 2012/19/EU, а также Регламента Комиссии (ЕС) № 1357/2014.</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13 июня 2013 г. об обращении с упаковкой и упаковочными отходами (Dz.U. 2023 поз. 1658 с последующими изменениями) — имплементация, в частности, директивы 94/62/EC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климата от 2 января 2020 г. о каталоге отходов (Dz.U. 2020 поз. 10) — имплементация решения Комиссии 2000/532/EC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13 марта 2023 г. о вступлении в силу изменений к приложениям A и B к Европейскому соглашению о международной дорожной перевозке опасных грузов (ADR), составленному в Женеве 30 сентября 1957 г. (Dz.U. 2023 поз. 891).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13 марта 2023 г. о вступлении в силу изменений к Регламенту о международной перевозке опасных грузов по железным дорогам (RID), составляющему приложение C к Конвенции о международных железнодорожных перевозках (COTIF), составленной в Берне 9 мая 1980 г. (Dz.U. 2023 поз. 789).</w:t>
      </w:r>
    </w:p>
    <w:p>
      <w:pPr>
        <w:spacing w:after="40" w:before="140"/>
      </w:pPr>
      <w:r>
        <w:rPr>
          <w:rFonts w:ascii="Calibri" w:cs="Calibri" w:eastAsia="Calibri" w:hAnsi="Calibri"/>
          <w:b/>
          <w:bCs/>
          <w:i w:val="false"/>
          <w:iCs w:val="false"/>
          <w:sz w:val="18"/>
          <w:szCs w:val="18"/>
        </w:rPr>
        <w:t xml:space="preserve">15.2. Оценка химической безопасности</w:t>
      </w:r>
    </w:p>
    <w:p>
      <w:pPr>
        <w:spacing w:after="60" w:before="0"/>
      </w:pPr>
      <w:r>
        <w:rPr>
          <w:rFonts w:ascii="Calibri" w:cs="Calibri" w:eastAsia="Calibri" w:hAnsi="Calibri"/>
          <w:b w:val="false"/>
          <w:bCs w:val="false"/>
          <w:i w:val="false"/>
          <w:iCs w:val="false"/>
          <w:sz w:val="18"/>
          <w:szCs w:val="18"/>
        </w:rPr>
        <w:t xml:space="preserve">Согласно информации поставщиков сырья, оценка химической безопасности компонентов не проводилась.</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16: ПРОЧАЯ ИНФОРМАЦИЯ</w:t>
            </w:r>
          </w:p>
        </w:tc>
      </w:tr>
    </w:tbl>
    <w:p>
      <w:pPr>
        <w:spacing w:after="60" w:before="0"/>
      </w:pPr>
    </w:p>
    <w:p>
      <w:pPr>
        <w:spacing w:after="60" w:before="0"/>
      </w:pPr>
      <w:r>
        <w:rPr>
          <w:rFonts w:ascii="Calibri" w:cs="Calibri" w:eastAsia="Calibri" w:hAnsi="Calibri"/>
          <w:b/>
          <w:bCs/>
          <w:i w:val="false"/>
          <w:iCs w:val="false"/>
          <w:sz w:val="18"/>
          <w:szCs w:val="18"/>
        </w:rPr>
        <w:t xml:space="preserve">a) актуализация паспорта охватывает следующие изменения:</w:t>
      </w:r>
    </w:p>
    <w:p>
      <w:pPr>
        <w:spacing w:after="60" w:before="0"/>
      </w:pPr>
      <w:r>
        <w:rPr>
          <w:rFonts w:ascii="Calibri" w:cs="Calibri" w:eastAsia="Calibri" w:hAnsi="Calibri"/>
          <w:b w:val="false"/>
          <w:bCs w:val="false"/>
          <w:i w:val="false"/>
          <w:iCs w:val="false"/>
          <w:sz w:val="18"/>
          <w:szCs w:val="18"/>
        </w:rPr>
        <w:t xml:space="preserve">По отношению к версии 3.0.0 от 30.05.2022 г. внесено изменение цвета продукта (подраздел 9.1), добавлена однозначная информация об отсутствии категории Seveso и актуализированы нормативные акты (подраздел 15.1). Данные изменения не подпадают под действие ст. 31 п. 9 Регламента REACH.</w:t>
      </w:r>
    </w:p>
    <w:p>
      <w:pPr>
        <w:spacing w:after="60" w:before="0"/>
      </w:pPr>
      <w:r>
        <w:rPr>
          <w:rFonts w:ascii="Calibri" w:cs="Calibri" w:eastAsia="Calibri" w:hAnsi="Calibri"/>
          <w:b/>
          <w:bCs/>
          <w:i w:val="false"/>
          <w:iCs w:val="false"/>
          <w:sz w:val="18"/>
          <w:szCs w:val="18"/>
        </w:rPr>
        <w:t xml:space="preserve">b) расшифровка сокращений и акронимов:</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2320"/>
        <w:gridCol w:w="8226"/>
      </w:tblGrid>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NDSCh</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 кратковременного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DSB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допустимая концентрация в биологическом материале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IOELv</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индикативный допустимый уровень профессионального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LC50 (CL50) / LD50 (DL50)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медиана смертельной концентрации / смертельной дозы</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LC100 (CL100) / LD100 (DL100)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концентрация/доза, вызывающая гибель 100 %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EC10 / LC10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 смертельная концентрация для 10 %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для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ErC50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(снижение скорости роста) для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NOELR</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без наблюдаемого действия показателя нагрузки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вредного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наименьший уровень (концентрация), при котором наблюдается вредное действие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LDL0 / LCL0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наименьшая смертельная доза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DL0 / 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доза (концентрация), не вызывающая гибели в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PNEC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прогнозируемая концентрация, не вызывающая изменений в окружающей среде (Predicted No Effect Concentration)</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DNEL</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производный уровень, не вызывающий изменений (Derived No Effect Level)</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PBT</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СБТ — стойкое, биоаккумулятивное и токсичное вещество</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vPvB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оСБсБ — очень стойкое и очень биоаккумулятивное вещество</w:t>
            </w:r>
          </w:p>
        </w:tc>
      </w:tr>
    </w:tbl>
    <w:p>
      <w:pPr>
        <w:spacing w:after="80" w:before="0"/>
      </w:pPr>
    </w:p>
    <w:p>
      <w:pPr>
        <w:spacing w:after="60" w:before="0"/>
      </w:pPr>
      <w:r>
        <w:rPr>
          <w:rFonts w:ascii="Calibri" w:cs="Calibri" w:eastAsia="Calibri" w:hAnsi="Calibri"/>
          <w:b/>
          <w:bCs/>
          <w:i w:val="false"/>
          <w:iCs w:val="false"/>
          <w:sz w:val="18"/>
          <w:szCs w:val="18"/>
        </w:rPr>
        <w:t xml:space="preserve">c) ссылки на ключевую литературу и источники данных:</w:t>
      </w:r>
    </w:p>
    <w:p>
      <w:pPr>
        <w:spacing w:after="60" w:before="0"/>
      </w:pPr>
      <w:r>
        <w:rPr>
          <w:rFonts w:ascii="Calibri" w:cs="Calibri" w:eastAsia="Calibri" w:hAnsi="Calibri"/>
          <w:b w:val="false"/>
          <w:bCs w:val="false"/>
          <w:i w:val="false"/>
          <w:iCs w:val="false"/>
          <w:sz w:val="18"/>
          <w:szCs w:val="18"/>
        </w:rPr>
        <w:t xml:space="preserve">Паспорт разработан на основании паспортов безопасности сырья, составленных поставщиками, а также действующих в Польше нормативных актов, касающихся химических веществ и их смесей.</w:t>
      </w:r>
    </w:p>
    <w:p>
      <w:pPr>
        <w:spacing w:after="60" w:before="0"/>
      </w:pPr>
      <w:r>
        <w:rPr>
          <w:rFonts w:ascii="Calibri" w:cs="Calibri" w:eastAsia="Calibri" w:hAnsi="Calibri"/>
          <w:b/>
          <w:bCs/>
          <w:i w:val="false"/>
          <w:iCs w:val="false"/>
          <w:sz w:val="18"/>
          <w:szCs w:val="18"/>
        </w:rPr>
        <w:t xml:space="preserve">d) метод классификации смеси:</w:t>
      </w:r>
    </w:p>
    <w:p>
      <w:pPr>
        <w:spacing w:after="60" w:before="0"/>
      </w:pPr>
      <w:r>
        <w:rPr>
          <w:rFonts w:ascii="Calibri" w:cs="Calibri" w:eastAsia="Calibri" w:hAnsi="Calibri"/>
          <w:b w:val="false"/>
          <w:bCs w:val="false"/>
          <w:i w:val="false"/>
          <w:iCs w:val="false"/>
          <w:sz w:val="18"/>
          <w:szCs w:val="18"/>
        </w:rPr>
        <w:t xml:space="preserve">Продукт не содержит компонентов, классифицированных как представляющие опасность. На основании состава и информации о компонентах, а также физических свойств смеси установлено, что смесь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e) перечень символов, указывающих класс и категорию опасности, и H-фраз, приведённых в разделах 2 и 3 паспорта безопасности, с их полной формулировкой:</w:t>
      </w:r>
    </w:p>
    <w:p>
      <w:pPr>
        <w:spacing w:after="60" w:before="0"/>
      </w:pPr>
      <w:r>
        <w:rPr>
          <w:rFonts w:ascii="Calibri" w:cs="Calibri" w:eastAsia="Calibri" w:hAnsi="Calibri"/>
          <w:b w:val="false"/>
          <w:bCs w:val="false"/>
          <w:i w:val="false"/>
          <w:iCs w:val="false"/>
          <w:sz w:val="18"/>
          <w:szCs w:val="18"/>
        </w:rPr>
        <w:t xml:space="preserve">Не применимо.</w:t>
      </w:r>
    </w:p>
    <w:p>
      <w:pPr>
        <w:spacing w:after="60" w:before="0"/>
      </w:pPr>
      <w:r>
        <w:rPr>
          <w:rFonts w:ascii="Calibri" w:cs="Calibri" w:eastAsia="Calibri" w:hAnsi="Calibri"/>
          <w:b/>
          <w:bCs/>
          <w:i w:val="false"/>
          <w:iCs w:val="false"/>
          <w:sz w:val="18"/>
          <w:szCs w:val="18"/>
        </w:rPr>
        <w:t xml:space="preserve">f) рекомендации относительно необходимого обучения работников в целях обеспечения охраны здоровья человека и окружающей среды:</w:t>
      </w:r>
    </w:p>
    <w:p>
      <w:pPr>
        <w:spacing w:after="60" w:before="0"/>
      </w:pPr>
      <w:r>
        <w:rPr>
          <w:rFonts w:ascii="Calibri" w:cs="Calibri" w:eastAsia="Calibri" w:hAnsi="Calibri"/>
          <w:b w:val="false"/>
          <w:bCs w:val="false"/>
          <w:i w:val="false"/>
          <w:iCs w:val="false"/>
          <w:sz w:val="18"/>
          <w:szCs w:val="18"/>
        </w:rPr>
        <w:t xml:space="preserve">Работодатель обязан проинформировать работников, имеющих контакт с продуктом, об опасностях и средствах индивидуальной защиты, перечисленных в настоящем паспорте безопасности. Перед началом работы с продуктом пользователь должен ознакомиться с правилами охраны труда при работе с химикатами, и в частности пройти соответствующее обучение на рабочем месте; обучение по охране труда проводить в соответствии с действующими нормативными актами — раздел 15.</w:t>
      </w:r>
    </w:p>
    <w:p>
      <w:pPr>
        <w:spacing w:after="60" w:before="0"/>
      </w:pPr>
      <w:r>
        <w:rPr>
          <w:rFonts w:ascii="Calibri" w:cs="Calibri" w:eastAsia="Calibri" w:hAnsi="Calibri"/>
          <w:b/>
          <w:bCs/>
          <w:i w:val="false"/>
          <w:iCs w:val="false"/>
          <w:sz w:val="18"/>
          <w:szCs w:val="18"/>
        </w:rPr>
        <w:t xml:space="preserve">Дополнительная информация:</w:t>
      </w:r>
    </w:p>
    <w:p>
      <w:pPr>
        <w:pBdr>
          <w:left w:val="single" w:color="1F3864" w:sz="12" w:space="8"/>
        </w:pBdr>
        <w:spacing w:after="100" w:before="100"/>
        <w:ind w:left="200"/>
      </w:pPr>
      <w:r>
        <w:rPr>
          <w:rFonts w:ascii="Calibri" w:cs="Calibri" w:eastAsia="Calibri" w:hAnsi="Calibri"/>
          <w:b w:val="false"/>
          <w:bCs w:val="false"/>
          <w:i/>
          <w:iCs/>
          <w:sz w:val="18"/>
          <w:szCs w:val="18"/>
        </w:rPr>
        <w:t xml:space="preserve">Смесь не классифицирована как представляющая опасность, не содержит компонентов, о которых говорится в ст. 31 Регламента REACH, и в связи с этим настоящий паспорт безопасности юридически не требуется — он составлен добровольно, с целью указать получателю на надлежащее обращение с продуктом.</w:t>
      </w:r>
    </w:p>
    <w:p>
      <w:pPr>
        <w:spacing w:after="60" w:before="0"/>
      </w:pPr>
      <w:r>
        <w:rPr>
          <w:rFonts w:ascii="Calibri" w:cs="Calibri" w:eastAsia="Calibri" w:hAnsi="Calibri"/>
          <w:b w:val="false"/>
          <w:bCs w:val="false"/>
          <w:i w:val="false"/>
          <w:iCs w:val="false"/>
          <w:sz w:val="18"/>
          <w:szCs w:val="18"/>
        </w:rPr>
        <w:t xml:space="preserve">Приведённая выше информация разработана на основании текущего состояния знаний и относится к продукту в том виде, в котором он применяется. Данные, касающиеся этого продукта, представлены с целью учёта требований безопасности, а не гарантирования его особых свойств.</w:t>
      </w:r>
    </w:p>
    <w:p>
      <w:pPr>
        <w:spacing w:after="60" w:before="0"/>
      </w:pPr>
      <w:r>
        <w:rPr>
          <w:rFonts w:ascii="Calibri" w:cs="Calibri" w:eastAsia="Calibri" w:hAnsi="Calibri"/>
          <w:b w:val="false"/>
          <w:bCs w:val="false"/>
          <w:i w:val="false"/>
          <w:iCs w:val="false"/>
          <w:sz w:val="18"/>
          <w:szCs w:val="18"/>
        </w:rPr>
        <w:t xml:space="preserve">В случае если условия применения продукта не находятся под контролем производителя, ответственность за безопасное применение продукта несёт пользователь.</w:t>
      </w:r>
    </w:p>
    <w:p>
      <w:pPr>
        <w:spacing w:after="140" w:before="0"/>
      </w:pPr>
    </w:p>
    <w:sectPr>
      <w:pgSz w:w="11906" w:h="16838" w:orient="portrait"/>
      <w:pgMar w:top="680" w:right="680" w:bottom="680" w:left="680" w:header="708" w:footer="708" w:gutter="0"/>
      <w:pgBorders w:display="allPages" w:offsetFrom="page">
        <w:top w:val="single" w:color="8EA9DB" w:sz="6" w:space="20"/>
        <w:left w:val="single" w:color="8EA9DB" w:sz="6" w:space="20"/>
        <w:bottom w:val="single" w:color="8EA9DB" w:sz="6" w:space="20"/>
        <w:right w:val="single" w:color="8EA9DB" w:sz="6" w:space="20"/>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40" w:hanging="200"/>
      </w:pPr>
      <w:rPr>
        <w:rFonts w:ascii="Calibri" w:cs="Calibri" w:eastAsia="Calibri" w:hAnsi="Calibri"/>
        <w:sz w:val="16"/>
        <w:szCs w:val="16"/>
      </w:rPr>
    </w:lvl>
  </w:abstractNum>
  <w:abstractNum w:abstractNumId="3" w15:restartNumberingAfterBreak="0">
    <w:multiLevelType w:val="hybridMultilevel"/>
    <w:lvl w:ilvl="0" w15:tentative="1">
      <w:start w:val="1"/>
      <w:numFmt w:val="decimal"/>
      <w:lvlText w:val="%1."/>
      <w:lvlJc w:val="left"/>
      <w:pPr>
        <w:ind w:left="400" w:hanging="2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18"/>
        <w:szCs w:val="18"/>
      </w:rPr>
    </w:rPrDefault>
    <w:pPrDefault>
      <w:pPr>
        <w:spacing w:line="24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2026-07-29T07:12:25.940Z</dcterms:created>
  <dcterms:modified xsi:type="dcterms:W3CDTF">2026-07-29T07:12:25.953Z</dcterms:modified>
</cp:coreProperties>
</file>

<file path=docProps/custom.xml><?xml version="1.0" encoding="utf-8"?>
<Properties xmlns="http://schemas.openxmlformats.org/officeDocument/2006/custom-properties" xmlns:vt="http://schemas.openxmlformats.org/officeDocument/2006/docPropsVTypes"/>
</file>