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  <w:jc w:val="center"/>
      </w:pPr>
      <w:r>
        <w:rPr>
          <w:rFonts w:ascii="Calibri" w:cs="Calibri" w:eastAsia="Calibri" w:hAnsi="Calibri"/>
          <w:b/>
          <w:bCs/>
          <w:color w:val="1F3864"/>
          <w:sz w:val="40"/>
          <w:szCs w:val="40"/>
        </w:rPr>
        <w:t xml:space="preserve">Паспорт безопасности</w:t>
      </w:r>
    </w:p>
    <w:p>
      <w:pPr>
        <w:spacing w:after="120" w:before="0"/>
        <w:jc w:val="center"/>
      </w:pPr>
      <w:r>
        <w:rPr>
          <w:rFonts w:ascii="Calibri" w:cs="Calibri" w:eastAsia="Calibri" w:hAnsi="Calibri"/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1F3864" w:sz="8" w:space="6"/>
        </w:pBdr>
        <w:spacing w:after="120" w:before="0"/>
        <w:jc w:val="center"/>
      </w:pPr>
      <w:r>
        <w:rPr>
          <w:rFonts w:ascii="Calibri" w:cs="Calibri" w:eastAsia="Calibri" w:hAnsi="Calibri"/>
          <w:b/>
          <w:bCs/>
          <w:sz w:val="28"/>
          <w:szCs w:val="28"/>
        </w:rPr>
        <w:t xml:space="preserve">RENOPRIMER PU-200</w:t>
      </w:r>
    </w:p>
    <w:p>
      <w:pPr>
        <w:spacing w:after="20" w:before="0"/>
        <w:jc w:val="center"/>
      </w:pPr>
      <w:r>
        <w:rPr>
          <w:rFonts w:ascii="Calibri" w:cs="Calibri" w:eastAsia="Calibri" w:hAnsi="Calibri"/>
          <w:i/>
          <w:iCs/>
          <w:sz w:val="16"/>
          <w:szCs w:val="16"/>
        </w:rPr>
        <w:t xml:space="preserve">Паспорт безопасности соответствует образцу, установленному Регламентом (ЕС) № 2020/878</w:t>
      </w:r>
    </w:p>
    <w:p>
      <w:pPr>
        <w:spacing w:after="20" w:before="0"/>
        <w:jc w:val="center"/>
      </w:pPr>
      <w:r>
        <w:rPr>
          <w:rFonts w:ascii="Calibri" w:cs="Calibri" w:eastAsia="Calibri" w:hAnsi="Calibri"/>
          <w:i/>
          <w:iCs/>
          <w:sz w:val="16"/>
          <w:szCs w:val="16"/>
        </w:rPr>
        <w:t xml:space="preserve">Дата составления: 10.03.2014 г.  ·  Актуализация: 25.09.2023 г.  ·  версия 3.0.0</w:t>
      </w:r>
    </w:p>
    <w:p>
      <w:pPr>
        <w:spacing w:after="12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1.1. Идентификатор продукта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Торговое название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RENOPRIMER PU-200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Безрастворительная полиуретановая грунтовка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Компоненты согласно ст. 18 п. 3 подп. b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дифенилметандиизоцианат, диизоцианат дифенилметана — изомеры и гомологи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UFI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5S00-H02V-200R-S9GU</w:t>
            </w:r>
          </w:p>
        </w:tc>
      </w:tr>
    </w:tbl>
    <w:p>
      <w:pPr>
        <w:spacing w:after="8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1.2. Соответствующие установленные виды применения вещества или смеси и виды применения, которые не рекомендуются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Применение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Однокомпонентная безрастворительная грунтовка для применения перед проклейкой паркета клеями MS и PU, а также для укрепления впитывающих и невпитывающих оснований. Связующее средство.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Область применения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Промышленное и профессиональное применение (профессиональный пользователь).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Виды применения, которые не рекомендуются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Ограничения согласно Приложению XVII к Регламенту REACH — см. раздел 15.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применять в процессах промышленной/профессиональной очистки с помощью апротонных полярных растворителей.</w:t>
            </w:r>
          </w:p>
        </w:tc>
      </w:tr>
    </w:tbl>
    <w:p>
      <w:pPr>
        <w:spacing w:after="8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1.3. Данные о поставщике паспорта безопасности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Наименование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RENOVE Sp. z o.o.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Адрес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Wola Pękoszewska 82a, 96-111 Kowiesy, Польша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Номер телефона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46 831-74-14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Номер факса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46 831-74-14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E-mail по вопросам паспорта безопасности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renove@renove.com.pl</w:t>
            </w:r>
          </w:p>
        </w:tc>
      </w:tr>
    </w:tbl>
    <w:p>
      <w:pPr>
        <w:spacing w:after="8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1.4. Номер телефона экстренной связи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Телефон экстренной связи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112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+42 631 74 14 (пн.–пт., 9:00–15:00)</w:t>
            </w:r>
          </w:p>
        </w:tc>
      </w:tr>
    </w:tbl>
    <w:p>
      <w:pPr>
        <w:spacing w:after="80" w:before="0"/>
      </w:pP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2: ИДЕНТИФИКАЦИЯ ОПАСНОСТИ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2.1. Классификация вещества или смеси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5273"/>
        <w:gridCol w:w="5273"/>
      </w:tblGrid>
      <w:tr>
        <w:trPr>
          <w:tblHeader/>
        </w:trPr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Класс и категория опасности</w:t>
            </w:r>
          </w:p>
        </w:tc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H-фраза</w:t>
            </w:r>
          </w:p>
        </w:tc>
      </w:tr>
      <w:tr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Irrit. 2</w:t>
            </w:r>
          </w:p>
        </w:tc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H315</w:t>
            </w:r>
          </w:p>
        </w:tc>
      </w:tr>
      <w:tr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Sens. 1</w:t>
            </w:r>
          </w:p>
        </w:tc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H317</w:t>
            </w:r>
          </w:p>
        </w:tc>
      </w:tr>
      <w:tr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Irrit. 2</w:t>
            </w:r>
          </w:p>
        </w:tc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H319</w:t>
            </w:r>
          </w:p>
        </w:tc>
      </w:tr>
      <w:tr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Acute Tox. 4</w:t>
            </w:r>
          </w:p>
        </w:tc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H332</w:t>
            </w:r>
          </w:p>
        </w:tc>
      </w:tr>
      <w:tr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Resp. Sens. 1</w:t>
            </w:r>
          </w:p>
        </w:tc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H334</w:t>
            </w:r>
          </w:p>
        </w:tc>
      </w:tr>
      <w:tr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STOT SE 3</w:t>
            </w:r>
          </w:p>
        </w:tc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H335</w:t>
            </w:r>
          </w:p>
        </w:tc>
      </w:tr>
      <w:tr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Carc. 2</w:t>
            </w:r>
          </w:p>
        </w:tc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H351</w:t>
            </w:r>
          </w:p>
        </w:tc>
      </w:tr>
      <w:tr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STOT RE 2</w:t>
            </w:r>
          </w:p>
        </w:tc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H373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/>
          <w:iCs/>
          <w:sz w:val="18"/>
          <w:szCs w:val="18"/>
        </w:rPr>
        <w:t xml:space="preserve">Расшифровка символов и сокращений, указывающих класс опасности или категорию опасности, а также фраз, указывающих вид опасности, приведена в разделе 16.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Смесь классифицирована как представляющая опасность согласно критериям Регламента (ЕС) № 1272/2008: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Опасности для человека, обусловленные токсичностью и анализом специфических последствий для здоровья человека: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Действие, раздражающее кожу, категория 2. Вызывает раздражение кожи.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Сенсибилизирующее действие на кожу, категория 1. Может вызывать аллергическую кожную реакцию.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Действие, раздражающее глаза, категория 2. Вызывает серьёзное раздражение глаз.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Острая токсичность, категория 4. Вредно при вдыхании.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Сенсибилизирующее действие на дыхательные пути, категория 1. Может вызывать симптомы аллергии или астмы либо затруднение дыхания при вдыхании.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Специфическая токсичность на органы-мишени (однократное воздействие), категория 3. Может вызывать раздражение дыхательных путей.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Канцерогенность, категория 2. Предполагается, что вызывает раковые заболевания.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Специфическая токсичность на органы-мишени (повторное воздействие), категория 2. Может вызывать повреждение органов (органы дыхания) при длительном или повторном воздействии (через дыхательные пути).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Опасности для окружающей среды: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не соответствует критериям классификации.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Опасности для человека и окружающей среды, обусловленные физико-химическими свойствами: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не соответствует критериям классификации.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2.2. Элементы маркировки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Пиктограммы: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GHS07, GHS08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Сигнальное слово: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ОПАСНО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H-фразы (указания на опасность):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266"/>
        <w:gridCol w:w="9280"/>
      </w:tblGrid>
      <w:tr>
        <w:trPr>
          <w:tblHeader/>
        </w:trPr>
        <w:tc>
          <w:tcPr>
            <w:tcW w:type="dxa" w:w="126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Код</w:t>
            </w:r>
          </w:p>
        </w:tc>
        <w:tc>
          <w:tcPr>
            <w:tcW w:type="dxa" w:w="92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Формулировка</w:t>
            </w:r>
          </w:p>
        </w:tc>
      </w:tr>
      <w:tr>
        <w:tc>
          <w:tcPr>
            <w:tcW w:type="dxa" w:w="126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H315</w:t>
            </w:r>
          </w:p>
        </w:tc>
        <w:tc>
          <w:tcPr>
            <w:tcW w:type="dxa" w:w="92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Вызывает раздражение кожи.</w:t>
            </w:r>
          </w:p>
        </w:tc>
      </w:tr>
      <w:tr>
        <w:tc>
          <w:tcPr>
            <w:tcW w:type="dxa" w:w="126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H317</w:t>
            </w:r>
          </w:p>
        </w:tc>
        <w:tc>
          <w:tcPr>
            <w:tcW w:type="dxa" w:w="92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Может вызывать аллергическую кожную реакцию.</w:t>
            </w:r>
          </w:p>
        </w:tc>
      </w:tr>
      <w:tr>
        <w:tc>
          <w:tcPr>
            <w:tcW w:type="dxa" w:w="126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H319</w:t>
            </w:r>
          </w:p>
        </w:tc>
        <w:tc>
          <w:tcPr>
            <w:tcW w:type="dxa" w:w="92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Вызывает серьёзное раздражение глаз.</w:t>
            </w:r>
          </w:p>
        </w:tc>
      </w:tr>
      <w:tr>
        <w:tc>
          <w:tcPr>
            <w:tcW w:type="dxa" w:w="126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H332</w:t>
            </w:r>
          </w:p>
        </w:tc>
        <w:tc>
          <w:tcPr>
            <w:tcW w:type="dxa" w:w="92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Вредно при вдыхании.</w:t>
            </w:r>
          </w:p>
        </w:tc>
      </w:tr>
      <w:tr>
        <w:tc>
          <w:tcPr>
            <w:tcW w:type="dxa" w:w="126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H334</w:t>
            </w:r>
          </w:p>
        </w:tc>
        <w:tc>
          <w:tcPr>
            <w:tcW w:type="dxa" w:w="92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Может вызывать симптомы аллергии или астмы либо затруднение дыхания при вдыхании.</w:t>
            </w:r>
          </w:p>
        </w:tc>
      </w:tr>
      <w:tr>
        <w:tc>
          <w:tcPr>
            <w:tcW w:type="dxa" w:w="126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H335</w:t>
            </w:r>
          </w:p>
        </w:tc>
        <w:tc>
          <w:tcPr>
            <w:tcW w:type="dxa" w:w="92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Может вызывать раздражение дыхательных путей.</w:t>
            </w:r>
          </w:p>
        </w:tc>
      </w:tr>
      <w:tr>
        <w:tc>
          <w:tcPr>
            <w:tcW w:type="dxa" w:w="126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H351</w:t>
            </w:r>
          </w:p>
        </w:tc>
        <w:tc>
          <w:tcPr>
            <w:tcW w:type="dxa" w:w="92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Предполагается, что вызывает раковые заболевания.</w:t>
            </w:r>
          </w:p>
        </w:tc>
      </w:tr>
      <w:tr>
        <w:tc>
          <w:tcPr>
            <w:tcW w:type="dxa" w:w="126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H373</w:t>
            </w:r>
          </w:p>
        </w:tc>
        <w:tc>
          <w:tcPr>
            <w:tcW w:type="dxa" w:w="92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Может вызывать повреждение органов (органы дыхания) при длительном или повторном воздействии (через дыхательные пути).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P-фразы (меры предосторожности):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476"/>
        <w:gridCol w:w="9070"/>
      </w:tblGrid>
      <w:tr>
        <w:trPr>
          <w:tblHeader/>
        </w:trPr>
        <w:tc>
          <w:tcPr>
            <w:tcW w:type="dxa" w:w="1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Код</w:t>
            </w:r>
          </w:p>
        </w:tc>
        <w:tc>
          <w:tcPr>
            <w:tcW w:type="dxa" w:w="90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Формулировка</w:t>
            </w:r>
          </w:p>
        </w:tc>
      </w:tr>
      <w:tr>
        <w:tc>
          <w:tcPr>
            <w:tcW w:type="dxa" w:w="1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P260</w:t>
            </w:r>
          </w:p>
        </w:tc>
        <w:tc>
          <w:tcPr>
            <w:tcW w:type="dxa" w:w="90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вдыхать пары/аэрозоль.</w:t>
            </w:r>
          </w:p>
        </w:tc>
      </w:tr>
      <w:tr>
        <w:tc>
          <w:tcPr>
            <w:tcW w:type="dxa" w:w="1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P280</w:t>
            </w:r>
          </w:p>
        </w:tc>
        <w:tc>
          <w:tcPr>
            <w:tcW w:type="dxa" w:w="90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Использовать защитные перчатки/защитную одежду/средства защиты глаз/лица.</w:t>
            </w:r>
          </w:p>
        </w:tc>
      </w:tr>
      <w:tr>
        <w:tc>
          <w:tcPr>
            <w:tcW w:type="dxa" w:w="1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P302+352</w:t>
            </w:r>
          </w:p>
        </w:tc>
        <w:tc>
          <w:tcPr>
            <w:tcW w:type="dxa" w:w="90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ПРИ ПОПАДАНИИ НА КОЖУ: промыть большим количеством воды.</w:t>
            </w:r>
          </w:p>
        </w:tc>
      </w:tr>
      <w:tr>
        <w:tc>
          <w:tcPr>
            <w:tcW w:type="dxa" w:w="1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P304+340</w:t>
            </w:r>
          </w:p>
        </w:tc>
        <w:tc>
          <w:tcPr>
            <w:tcW w:type="dxa" w:w="90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ПРИ ВДЫХАНИИ: вывести или вынести пострадавшего на свежий воздух и обеспечить ему условия для свободного дыхания.</w:t>
            </w:r>
          </w:p>
        </w:tc>
      </w:tr>
      <w:tr>
        <w:tc>
          <w:tcPr>
            <w:tcW w:type="dxa" w:w="1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P403+P233</w:t>
            </w:r>
          </w:p>
        </w:tc>
        <w:tc>
          <w:tcPr>
            <w:tcW w:type="dxa" w:w="90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Хранить в хорошо вентилируемом месте. Хранить ёмкость плотно закрытой.</w:t>
            </w:r>
          </w:p>
        </w:tc>
      </w:tr>
      <w:tr>
        <w:tc>
          <w:tcPr>
            <w:tcW w:type="dxa" w:w="1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P405</w:t>
            </w:r>
          </w:p>
        </w:tc>
        <w:tc>
          <w:tcPr>
            <w:tcW w:type="dxa" w:w="90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Хранить под замком.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Дополнительная информация на этикетке (согласно ст. 25 и ст. 32 Регламента CLP):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EUH204 — Содержит изоцианаты. Может вызывать аллергическую реакцию.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 24 августа 2023 г. требуется прохождение соответствующего обучения перед промышленным или профессиональным применением.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Грунтовочная краска со связующими свойствами (h): содержание ЛОС 0,0 г/л; допустимое содержание ЛОС: 30 г/л (готовая к применению) и 750 г/л (в готовой рецептуре).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Компоненты, подлежащие указанию на маркировке согласно ст. 18 п. 3 подп. b: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дифенилметандиизоцианат, диизоцианат дифенилметана — изомеры и гомологи.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2.3. Прочие опасности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Оценка PBT или vPvB согласно Приложению XIII REACH — ни один из компонентов, перечисленных в разделе 3, не признан СБТ (PBT) или оСБсБ (vPvB) согласно действующим критериям.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содержит компонентов, внесённых в перечень, установленный согласно ст. 59 п. 1 Регламента (ЕС) № 1907/2006 (REACH), как обладающие свойствами эндокринных разрушителей, а также веществ со свойствами, нарушающими функционирование эндокринной системы, согласно критериям, определённым делегированным регламентом Комиссии (ЕС) 2017/2100 или регламентом Комиссии (ЕС) 2018/605, в концентрациях 0,1 % или более.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повышенной температуре или в присутствии некоторых химических веществ (вода, спирты, амины — см. раздел 10) изоцианат может бурно полимеризоваться с выделением диоксида углерода и больших количеств тепла (возможность разрыва плотно закрытых ёмкостей с загрязнённым продуктом).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У лиц с заболеваниями дыхательной системы (например, хронический бронхит, эмфизема лёгких, астма) воздействие изоцианатов может вызвать усиление симптомов заболевания.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Лица, сенсибилизированные к изоцианатам, не могут привлекаться к работам с этим продуктом; лицам со склонностью к аллергии необходимо соблюдать особую осторожность.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У пострадавших симптомы астмы и отёк лёгких могут быть отсроченными и проявиться в течение 48 часов после воздействия; дополнительно их усиливает физическая нагрузка — необходимо обеспечить пострадавшему покой, неподвижность и врачебное наблюдение.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3.1. Вещества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применимо — продукт является смесью.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3.2. Смеси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содержит дифенилметандиизоцианат и диизоцианат дифенилметана — изомеры и гомологи.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Компоненты, представляющие опасность: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164"/>
        <w:gridCol w:w="7382"/>
      </w:tblGrid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Наименование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Дифенилметандиизоцианат (MDI)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Содержание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25–50 %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CAS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26447-40-5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ЕС (WE)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247-714-0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Индексный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615-005-00-9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Регистрационный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01-2119457015-45-0005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01-2119457015-45-0001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Классификация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Irrit. 2 H315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Sens. 1 H317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Irrit. 2 H319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Acute Tox. 4 H332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Resp. Sens. 1 H334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STOT SE 3 H335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Carc. 2 H351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STOT RE 2 H373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Специфические предельные концентрации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C ≥ 5 %: Skin Irrit. 2 H315 / Eye Irrit. 2 H319 / STOT SE 3 H335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C ≥ 0,1 %: Resp. Sens. 1 H334</w:t>
            </w:r>
          </w:p>
        </w:tc>
      </w:tr>
    </w:tbl>
    <w:p>
      <w:pPr>
        <w:spacing w:after="80" w:before="0"/>
      </w:pP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164"/>
        <w:gridCol w:w="7382"/>
      </w:tblGrid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Наименование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Диизоцианат дифенилметана — изомеры и гомологи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Содержание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10–25 %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CAS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9016-87-9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ЕС (WE)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—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Индексный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—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Регистрационный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01-2119457024-46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Классификация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Irrit. 2 H315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Sens. 1 H317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Irrit. 2 H319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Acute Tox. 4 H332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Resp. Sens. 1 H334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STOT SE 3 H335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Carc. 2 H351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STOT RE 2 H373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Специфические предельные концентрации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C ≥ 5 %: Skin Irrit. 2 H315 / Eye Irrit. 2 H319 / STOT SE 3 H335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C ≥ 0,1 %: Resp. Sens. 1 H334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/>
          <w:iCs/>
          <w:sz w:val="18"/>
          <w:szCs w:val="18"/>
        </w:rPr>
        <w:t xml:space="preserve">Расшифровка символов и сокращений, указывающих класс опасности или категорию опасности, а также фраз, указывающих вид опасности, приведена в разделе 16.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4: МЕРЫ ПЕРВОЙ ПОМОЩИ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4.1. Описание мер первой помощи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Воздействие через дыхательные пути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Вывести или вынести пострадавшего на свежий воздух (спасатели должны быть оснащены надлежащими средствами индивидуальной защиты — см. раздел 8). Обеспечить пострадавшему тепло и условия для отдыха; любая физическая нагрузка для пострадавшего запрещена. При остановке или нерегулярном дыхании применить искусственное дыхание (не применять метод «рот в рот»). Немедленно вызвать врача. Симптомы отравления могут быть отсроченными — обеспечить пострадавшему врачебное наблюдение.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Контакт с кожей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Немедленно снять загрязнённую одежду и обувь, вымыть кожу большим количеством проточной тёплой воды с мылом или раствором мягкого моющего средства, затем тщательно вымыть водой. При возникновении или сохранении раздражения кожи обратиться к врачу. Одежду и обувь тщательно очистить и выстирать перед повторным использованием.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Контакт с глазами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Немедленно снять контактные линзы и промывать глаза большим количеством тёплой воды не менее 10 минут (при вывернутых веках), избегая сильной струи воды из-за риска повреждения роговицы; при загрязнении одного глаза во время промывания защищать второй глаз от загрязнения. Наложить стерильную повязку. Незамедлительно вызвать врача или доставить пострадавшего к врачу — в каждом случае загрязнения глаз необходимо обеспечить пострадавшему срочную консультацию офтальмолога.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Примечание: лица, подверженные риску загрязнения глаз, должны быть проинструктированы о необходимости и способе их немедленного промывания.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Воздействие через пищеварительный тракт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ВЫЗЫВАТЬ РВОТУ! Если пострадавший полностью в сознании, он должен тщательно прополоскать рот водой. Немедленно вызвать врача, показать паспорт безопасности, упаковку или этикетку. Обеспечить пострадавшему тепло и условия для отдыха, не давать пить и не давать лекарств без согласования с врачом.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Общие замечания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появлении любых тревожных симптомов немедленно вызвать врача или доставить пострадавшего в больницу, показать упаковку продукта или этикетку.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Пострадавшего без сознания уложить в устойчивое боковое положение, обеспечить покой, защитить от потери тепла, контролировать дыхание и пульс. Никогда не вызывать рвоту и не давать ничего внутрь человеку без сознания или в оглушённом состоянии.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4.2. Важнейшие острые и отсроченные симптомы и последствия воздействия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Вдыхание паров или распылённой жидкости может вызвать раздражение слизистых оболочек глаз (покраснение конъюнктивы, слезотечение) и дыхательных путей (чувство раздражения, затруднённое дыхание, одышка, кашель, стеснение в грудной клетке). Могут возникнуть аллергические симптомы со стороны дыхательной системы (ощущение сухости и боль в горле, раздражение и выделения из носа, затруднённое дыхание, симптомы астмы — поверхностное дыхание, одышка, свистящее дыхание, кашель, стеснение и боль в грудной клетке). Может возникнуть головная боль. Некоторые симптомы (например, кашель, стеснение в грудной клетке, отёк лёгких) могут появиться как во время воздействия, так и спустя несколько или более часов, например часто возникают ночью. Необходимо врачебное наблюдение. У лиц с заболеваниями дыхательной системы (например, хронический бронхит, эмфизема лёгких, астма) воздействие изоцианатов может вызвать усиление симптомов заболевания. Повторное или длительное воздействие изоцианатов может вызвать астму. Контакт с глазами может вызвать раздражение, покраснение, слезотечение, боль. Контакт с кожей может вызвать раздражение и возникновение сенсибилизации (покраснение, зуд, волдыри), продолжительный или повторяющийся контакт вызывает пересушивание, воспалительные состояния кожи, аллергические реакции. При проглатывании могут возникнуть симптомы раздражения пищеварительного тракта — тошнота, рвота, диарея. Подробное описание см. раздел 11.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4.3. Указания относительно необходимости немедленной медицинской помощи и особого обращения с пострадавшим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появлении любых тревожных симптомов немедленно вызвать врача или доставить пострадавшего в больницу, сообщить о контакте с диизоцианатами.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бронхоспазме следует вводить бронхорасширяющие средства.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Пострадавшего без сознания уложить в устойчивое боковое положение, обеспечить покой, защитить от потери тепла, контролировать дыхание и пульс. Никогда не вызывать рвоту и не давать ничего внутрь человеку без сознания или в оглушённом состоянии.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 связи с возможностью отсроченных последствий необходимо врачебное наблюдение в течение 48 часов после воздействия — следует обеспечить пострадавшему покой и неподвижность.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5: МЕРЫ ПОЖАРОТУШЕНИЯ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5.1. Средства пожаротушения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Подходящие средства пожаротушения: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Порошковые огнетушащие средства, диоксид углерода, спиртостойкие огнетушащие пены, распылённые водяные струи.</w:t>
      </w:r>
    </w:p>
    <w:p>
      <w:pPr>
        <w:pBdr>
          <w:left w:val="single" w:color="1F3864" w:sz="12" w:space="8"/>
        </w:pBdr>
        <w:spacing w:after="100" w:before="100"/>
        <w:ind w:left="200"/>
      </w:pPr>
      <w:r>
        <w:rPr>
          <w:rFonts w:ascii="Calibri" w:cs="Calibri" w:eastAsia="Calibri" w:hAnsi="Calibri"/>
          <w:b w:val="false"/>
          <w:bCs w:val="false"/>
          <w:i/>
          <w:iCs/>
          <w:sz w:val="18"/>
          <w:szCs w:val="18"/>
        </w:rPr>
        <w:t xml:space="preserve">ВНИМАНИЕ: при пожарах продуктов, содержащих изоцианаты, допускается применение спиртостойких огнетушащих пен или воды (водяной туман, распылённые водяные струи) в случае очень крупных пожаров и распространения огня; однако вода может не быть эффективным огнетушащим средством, и применять её разрешается только при наличии большого количества воды. Следует соблюдать особую осторожность — при температуре выше 50 °C реакция изоцианатов с водой или огнетушащей пеной может протекать бурно с выделением больших количеств тепла. Воду применять для охлаждения ёмкостей и для разбавления паров.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Неподходящие средства пожаротушения: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применять компактные струи воды на поверхность жидкости (возможность разбрызгивания).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5.2. Особые опасности, связанные с веществом или смесью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Изоцианат реагирует с водой, реакция может протекать бурно, особенно при температуре выше 50 °C.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пожаре образуются пары изоцианатов, а также дымы, содержащие опасные для здоровья продукты разложения изоцианатов (цианистый водород, оксид углерода, диоксид углерода, оксиды азота).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контакте с металлами может выделяться водород — легковоспламеняющийся газ, образующий взрывоопасные смеси с воздухом.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Ёмкости с продуктом могут взорваться под действием огня или высоких температур, а также в результате загрязнения водой вещества, находящегося в закрытой ёмкости (при контакте с водой выделяется диоксид углерода, вызывающий рост давления в плотно закрытой ёмкости и её разрыв).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5.3. Информация для пожарной охраны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Специальное защитное снаряжение пожарных: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контакта с продуктом; спасатели должны быть оснащены специализированным защитным снаряжением (химически стойкий комбинезон) с дыхательным аппаратом, не зависящим от окружающего воздуха, защитной обувью (ПВХ) и защитными перчатками.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Прочие замечания: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Распорядиться об эвакуации из опасной зоны. Если это возможно без угрозы здоровью или жизни спасателей, ёмкости с продуктом следует удалить из зоны, подверженной пожару; внимание: не удалять ёмкости, уже подвергшиеся действию огня или высокой температуры (угроза взрыва), — охлаждать их водой с безопасного расстояния, не допуская попадания воды внутрь ёмкостей.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закрывать ёмкости плотно, если ранее произошло загрязнение находящегося в них продукта.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После тушения пожара надлежащим образом обученный и оснащённый персонал должен проверить, не загрязнена ли территория продуктом или веществами, образовавшимися при термическом разложении; только после подтверждения отсутствия загрязнения можно разрешить вход лиц без средств индивидуальной защиты.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Огнетушащие средства, загрязнённые веществом или продуктами его разложения (например, вода, использованная для тушения), могут обладать разъедающими и токсичными свойствами; по возможности следует обеспечить сбор загрязнённых средств, использованных для тушения пожара, не допускать попадания загрязнённой воды и других огнетушащих средств в канализационную систему, поверхностные воды и почву.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6.1. Индивидуальные меры предосторожности, защитное снаряжение и порядок действий в аварийной ситуации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Удалить с территории утечки посторонних и неуполномоченных лиц, а также животных, поместить их в безопасном, хорошо вентилируемом месте. Обозначить территорию предупреждающими табличками. Устранить все источники воспламенения.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 работам по ликвидации последствий аварии привлекать лиц, прошедших обучение и оснащённых средствами индивидуальной защиты.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Обеспечить надлежащую вентиляцию. Не вдыхать пары, оставаться вне опасной зоны с наветренной стороны. Избегать непосредственного контакта с высвободившимся продуктом. Необходимо измерять концентрации компонентов (MDI) перед тем, как разрешить вход на территорию утечки лицам без средств индивидуальной защиты.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6.2. Меры предосторожности по защите окружающей среды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допускать попадания продукта в поверхностные воды, почву и грунтовые воды, а также в канализацию — защитить сточные колодцы. Ограничить распространение разлива обвалованием территории. В случае попадания больших количеств продукта в окружающую среду или в канализационную систему уведомить соответствующие органы власти и службы химического реагирования.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6.3. Методы и материалы для локализации и очистки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Если возможно, устранить утечку (например, загерметизировать ёмкость или поместить её во внешнюю защитную упаковку). Разлитое вещество засыпать песком, землёй или другим негорючим сорбентом и оставить примерно на полчаса. Затем собрать загрязнённый впитывающий материал в маркированные неповреждённые ёмкости, изготовленные из материалов, пригодных для изоцианатов — ёмкость не следует плотно закрывать, выделяется диоксид углерода! Тщательно очистить загрязнённые поверхности, смыть водой, которую затем следует собрать и обращаться с ней также как с отходом. Для нейтрализации остатков продукта применять один из следующих растворов: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водный раствор, содержащий 5–10 % карбоната натрия и 0,2–2 % детергента (жидкого моющего средства);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водный раствор, содержащий 3–8 % концентрированного аммиака и 0,2–2 % детергента (жидкого моющего средства) — этот раствор действует быстрее описанного выше, но из-за опасностей для здоровья, создаваемых аммиаком (раздражающее действие на глаза, кожу и дыхательную систему), этот раствор могут применять исключительно надлежащим образом обученные лица с соблюдением особой осторожности.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Соблюдать осторожность: при реакции изоцианата могут выделяться тепло и диоксид углерода. Никогда не применять сам обеззараживающий состав непосредственно на поверхность разлитого продукта. При высвобождении бóльших количеств продукта нейтрализацию могут выполнять только надлежащим образом обученные лица.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6.4. Ссылки на другие разделы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Средства индивидуальной защиты — см. раздел 8.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Удаление продукта и прочих остатков — см. раздел 13.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7: ОБРАЩЕНИЕ И ХРАНЕНИЕ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7.1. Меры предосторожности при безопасном обращении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Соблюдать общие правила гигиены и требования охраны труда при работе с химикатами (см. раздел 15).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Перед началом работы следует подробно ознакомиться с особыми мерами предосторожности и с инструкцией.</w:t>
      </w:r>
    </w:p>
    <w:p>
      <w:pPr>
        <w:pBdr>
          <w:left w:val="single" w:color="1F3864" w:sz="12" w:space="8"/>
        </w:pBdr>
        <w:spacing w:after="100" w:before="100"/>
        <w:ind w:left="200"/>
      </w:pPr>
      <w:r>
        <w:rPr>
          <w:rFonts w:ascii="Calibri" w:cs="Calibri" w:eastAsia="Calibri" w:hAnsi="Calibri"/>
          <w:b w:val="false"/>
          <w:bCs w:val="false"/>
          <w:i/>
          <w:iCs/>
          <w:sz w:val="18"/>
          <w:szCs w:val="18"/>
        </w:rPr>
        <w:t xml:space="preserve">ВНИМАНИЕ! Лица, сенсибилизированные к изоцианатам, не могут привлекаться к работам с этим продуктом; лицам со склонностью к аллергии необходимо соблюдать особую осторожность. У лиц с заболеваниями дыхательной системы (например, хронический бронхит, эмфизема лёгких, астма) воздействие изоцианатов может вызвать усиление симптомов заболевания, поэтому лица с такими заболеваниями не должны привлекаться к работам в условиях воздействия изоцианатов.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работе с продуктом необходимо обеспечить эффективный воздухообмен (общая вентиляция помещения и/или местная вытяжная в местах, где могут присутствовать пары или аэрозоли); не допускать образования аэрозолей продукта, обеспечить регулярные измерения концентраций компонентов (MDI) в воздухе, не допускать возникновения концентраций, превышающих значения гигиенических нормативов.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непосредственного контакта продукта с глазами и кожей, немедленно снять загрязнённую продуктом одежду и обувь, тщательно их выстирать и очистить перед повторным использованием, не вдыхать пары или аэрозоли, а также продукты горения, применять надлежащие средства индивидуальной защиты (см. раздел 8).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нагревать продукт. Применять вдали от источников тепла и воспламенения, открытого огня, разогретых поверхностей (под действием температуры происходит полимеризация и существует риск взрыва).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Осторожно открывать частично опорожнённые упаковки (избыточное давление, вызванное выделением диоксида углерода!); запрещается сливать загрязнённое вещество обратно в ёмкости с чистым продуктом, запрещается закрывать ёмкости, если находящееся в них вещество подверглось загрязнению или увлажнению. Не допускать контакта продукта с несовместимыми веществами (см. раздел 10).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Обеспечить доступ к оборудованию и оснащению, необходимому в случае утечки или пожара продукта.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Разработать процедуры обеззараживания используемого оборудования — обеззараживание проводить с помощью специально приготовленных растворов и с соблюдением мер предосторожности (см. раздел 6). Следует применять избыток обеззараживающего средства.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Соблюдать правила гигиены. Во время работы с продуктом запрещается принимать пищу, пить напитки и курить, за исключением специально отведённых мест; следует мыть руки перед перерывами и по окончании работы.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7.2. Условия безопасного хранения, включая информацию о любой несовместимости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Хранить в соответствии с правилами хранения химических веществ, в прохладном, сухом и хорошо вентилируемом помещении, вдали от источников тепла и воспламенения, избегать нагрева ёмкостей и прямого действия солнечных лучей. Рекомендуемая температура хранения — от +5 °C до +25 °C. Защитить от доступа неуполномоченных лиц. Хранить в плотно закрытых и надлежащим образом маркированных ёмкостях. Защитить ёмкости от механических повреждений. Беречь от влаги и загрязнений — при реакции с водой образуется диоксид углерода, который может вызвать рост давления и разрыв ёмкости; если продукт подвергся увлажнению или загрязнению, повреждённые ёмкости не следует повторно плотно закрывать. Ёмкости хранить в вертикальном положении во избежание возможной утечки. Хранить в оригинальной упаковке производителя или в упаковке из того же материала. Полимерный MDI может храниться в ёмкостях из стали и нержавеющей стали. Не применять ёмкости из меди, медных сплавов, гальванизированных материалов.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хранить вместе с пищевыми продуктами, кормами и несовместимыми веществами, избегать контакта, в частности, с кислотами и окислителями (см. раздел 10).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Места, а также ёмкости и резервуары, служащие для хранения или содержащие опасные вещества либо опасные смеси, должны быть надлежащим образом обозначены (см. раздел 15).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7.3. Специфические конечные виды применения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известны.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8.1. Параметры контроля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Национальные значения предельно допустимых концентраций в воздухе рабочей зоны с указанием правового основания (постановление Министра семьи, труда и социальной политики Польши 2018 г., поз. 1286, с последующими изменениями — см. раздел 15):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4218"/>
        <w:gridCol w:w="6328"/>
      </w:tblGrid>
      <w:tr>
        <w:tc>
          <w:tcPr>
            <w:tcW w:type="dxa" w:w="421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4,4′-Метиленбис(фенилизоцианат)</w:t>
            </w:r>
          </w:p>
        </w:tc>
        <w:tc>
          <w:tcPr>
            <w:tcW w:type="dxa" w:w="632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NDS = 0,03 мг/м³; NDSCh = 0,09 мг/м³ (4,4′-MDI является одним из изомеров MDI и мономером полимерной формы)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Национальные допустимые биологические значения DSB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(значения, рекомендованные Межведомственной комиссией по NDS и NDN): отсутствуют.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Информация о рекомендуемых в настоящее время процедурах мониторинга наиболее значимых веществ: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Методика измерений — применять режим, методы, вид и периодичность выполнения исследований и измерений вредных для здоровья факторов в производственной среде в соответствии с действующим законодательством (см. раздел 15). Методы исследований и измерений вредных для здоровья факторов в производственной среде определяются польскими стандартами, а также международными или эквивалентными нормами. Определение мономера полимерного метиленбисфенилизоцианата (MDI; 4,4′-метиленбис(фенилизоцианата)) — по ISO 17735:2009.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Значения DNEL и PNEC: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Приведённые ниже значения DNEL и PNEC указаны для изомеров MDI: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работников при остром ингаляционном воздействии (местное действие): 0,1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работников при хроническом ингаляционном воздействии (местное действие): 0,05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населения в целом при остром ингаляционном воздействии (местное действие): 0,05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населения в целом при хроническом ингаляционном воздействии (местное действие): 0,025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PNEC (пресная вода): 3,7 мкг/л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PNEC (морская вода): 0,37 мкг/л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PNEC (периодическое высвобождение): 37 мкг/л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PNEC (осадок пресной воды): 11,7 мг/кг сухой массы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PNEC (осадок морской воды): 1,17 мг/кг сухой массы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PNEC (почва): 2,33 мг/кг сухой массы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8.2. Контроль воздействия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8.2.1. Соответствующие технические средства контроля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Применять надлежащую вентиляцию (общую, а в зоне перерабатывающего оборудования — местную вытяжную); при недостаточной вентиляции применять средства защиты дыхательных путей.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Обеспечить место для промывания глаз и кожи в случае загрязнения.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8.2.2. Индивидуальное защитное снаряжение (средства индивидуальной защиты):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Соблюдать общие правила гигиены и осторожности при работе с химикатами.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Во время применения не есть, не пить и не курить.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Хранить продукт вдали от пищевых продуктов, напитков и кормов.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вдыхать пары, распылённую жидкость и продукты горения.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контакта продукта с кожей и глазами.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Перед перерывами и по окончании работы мыть руки и лицо. После окончания работы применять крем для рук.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Немедленно снимать одежду и обувь в случае их загрязнения.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Защитную одежду хранить отдельно.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Соблюдать периодичность прохождения периодических медицинских осмотров.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a) Защита глаз или лица: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очки, плотно прилегающие к лицу, с боковыми щитками (PN-EN ISO 16321-1:2022-10).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b) Защита кожи: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(i) Защита рук: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защитные перчатки, устойчивые к действию и проникновению изоцианатов (EN 374), рекомендуются из бутилкаучука (BR), нитрильного каучука (NR), неопрена. При повторном воздействии рекомендуются перчатки класса 5 или выше, со временем проникновения &gt; 240 мин; при кратковременном контакте рекомендуются перчатки класса 3 или выше (время проникновения &gt; 60 мин). Толщина материала перчаток по рекомендациям поставщика должна составлять &gt; 0,35 мм; исключением из этого общего правила являются многослойные ламинированные перчатки, которые могут обеспечить более длительную защиту при толщине менее 0,35 мм; при кратком контакте меньшая толщина перчаток может быть достаточной. Выбор перчаток зависит не только от вида материала, но и от их качества, которое у каждого производителя может быть различным. Поэтому перчатки следует протестировать перед использованием. Перчатки следует заменять каждый раз после использования, при загрязнении, а также при их повреждении, например при появлении отверстий или потёртостей. Загрязнённые перчатки следует выбросить.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Например: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4746"/>
        <w:gridCol w:w="5800"/>
      </w:tblGrid>
      <w:tr>
        <w:trPr>
          <w:tblHeader/>
        </w:trP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Материал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Толщина / время проникновения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Полихлоропрен (неопрен)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толщина ≥ 0,5 мм; время проникновения ≥ 480 мин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Нитрил-бутадиеновый каучук (NBR)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толщина ≥ 0,35 мм; время проникновения ≥ 480 мин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Бутилкаучук (BR)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толщина ≥ 0,5 мм; время проникновения ≥ 480 мин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Фторкаучук (FKM)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толщина ≥ 0,4 мм; время проникновения ≥ 480 мин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(ii) Прочее: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защитная обувь (PN-EN ISO 20346:2022-09), защитная одежда, подобранная в зависимости от оценки риска — при возможности контакта продукта с кожей рекомендуется применение одежды из материалов с покрытием, в крайних случаях — химически стойкий защитный комбинезон.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c) Защита дыхательных путей: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при незначительных превышениях допустимых концентраций применять противогазовую маску с фильтром типа A; при наличии аэрозолей применять фильтр не ниже A/P2 (PN-EN 140:2001, PN-EN 405+A1:2010, PN-EN 149+A1:2010, PN-EN 143:2021-07, PN-EN 14387:2021-07). В случае, когда концентрация неизвестна (например, в аварийной ситуации), — изолирующие дыхательные аппараты с независимым источником воздуха.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d) Термические опасности: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отсутствуют.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Когда концентрация вещества установлена и известна, выбор средств индивидуальной защиты следует производить с учётом концентрации вещества на данном рабочем месте, времени экспозиции и выполняемых работником операций. В аварийной ситуации, если концентрация вещества на рабочем месте неизвестна, применять средства индивидуальной защиты наивысшего рекомендуемого класса защиты.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Средства индивидуальной защиты должны соответствовать требованиям, установленным соответствующими нормативными актами (см. раздел 15).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8.2.3. Контроль воздействия на окружающую среду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Референсные значения изоцианатов в атмосферном воздухе составляют 10 мкг/м³ — усреднённое за 1 час, и 1,3 мкг/м³ — усреднённое за календарный год;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Показатели загрязнения сточных вод — см. нормативные акты (раздел 15).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9.1. Информация об основных физических и химических свойствах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rPr>
          <w:tblHeader/>
        </w:trP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Свойство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Значение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Агрегатное состояние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Жидкость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Цвет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Светло-коричневый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Запах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Лёгкий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Температура плавления/затвердевания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Отсутствуют данные измерений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Температура кипения или начальная температура кипения и диапазон температур кипения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Отсутствуют данные измерений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Горючесть материалов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классифицируется как горючее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Нижний и верхний пределы взрываемости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MDI не является взрывчатым; возможно разложение или полимеризация MDI с выделением диоксида углерода, который может вызвать рост давления в закрытой ёмкости и её разрыв — см. раздел 10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Температура вспышки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&gt; 200 °C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Температура самовоспламенения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Продукт не является самовоспламеняющимся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Температура разложения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определена — в рекомендуемых условиях применения разложение не происходит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pH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определён для продукта (MDI и PMDI бурно реагируют с водой)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Кинематическая вязкость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Отсутствуют данные измерений — значение, рассчитанное на основании динамической вязкости при температуре 23 °C, составляет ок. 140 мм²/с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Растворимость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MDI — практически нерастворим, но реагирует с водой экзотермически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Коэффициент распределения н-октанол/вода (log Pow)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Отсутствуют данные измерений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Давление паров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&lt; 0,2 Па (литературные данные для MDI при температуре 20–70 °C)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Плотность или относительная плотность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ок. 1,2 кг/дм³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Относительная плотность паров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Отсутствуют данные измерений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Характеристика частиц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применимо (жидкость)</w:t>
            </w:r>
          </w:p>
        </w:tc>
      </w:tr>
    </w:tbl>
    <w:p>
      <w:pPr>
        <w:spacing w:after="8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9.2. Прочая информация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rPr>
          <w:tblHeader/>
        </w:trP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Свойство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Значение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Динамическая вязкость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170 мПа·с при температуре 23 °C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Взрывчатые свойства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Возможно разложение или полимеризация MDI с выделением диоксида углерода, который может вызвать рост давления в закрытой ёмкости и её разрыв — см. раздел 10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Окислительные свойства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Отсутствуют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Содержание ЛОС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0,0 г/л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/>
          <w:iCs/>
          <w:sz w:val="18"/>
          <w:szCs w:val="18"/>
        </w:rPr>
        <w:t xml:space="preserve">Приведённые выше физические данные являются лишь типовыми величинами и не должны интерпретироваться как спецификация.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10.1. Реакционная способность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Изоцианаты являются веществами с высокой реакционной способностью — реагируют с водой, кислотами, спиртами, аминами, основаниями и окислителями, подвергаются полимеризации с выделением тепла и диоксида углерода.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10.2. Химическая стабильность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Вещество стабильно в рекомендуемых условиях применения и хранения.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Изомеры MDI нестабильны при контакте с водой, а также с ДМСО; при реакции с водой образуются нерастворимые полиуретаны.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температуре 200 °C происходит полимеризация 4,4′-MDI с выделением диоксида углерода.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10.3. Возможность опасных реакций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Реакция с холодной или тёплой водой (&lt; 50 °C) протекает относительно медленно, тогда как с горячей водой или с водяным паром — бурно, с выделением тепла; при реакции с водой или с влагой образуется диоксид углерода, который может вызвать рост давления в закрытой ёмкости и её разрыв.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Реакции с кислотами, спиртами, аминами, основаниями и окислителями могут вызвать пожар или взрыв.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контакте изоцианатов с металлами может выделяться водород — легковоспламеняющийся газ, образующий взрывоопасные смеси с воздухом.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10.4. Условия, которых следует избегать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Нагрев, высокая температура, действие солнечных лучей, искры, электростатические разряды.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Влага.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Загрязнение продукта (может произойти полимеризация с выделением диоксида углерода; если произошло загрязнение, не следует плотно закрывать ёмкость — может произойти рост давления и разрыв ёмкости).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10.5. Несовместимые материалы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Вода, влага, окислители, кислоты, основания, спирты, амины, аммиак, металлы (алюминий, цинк, медь, олово, латунь, металлы с гальваническим покрытием), соединения металлов.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10.6. Опасные продукты разложения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контакте с водой или с влагой образуется диоксид углерода и может произойти рост давления в закрытой ёмкости.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пожаре образуются, в частности, оксид углерода, диоксид углерода, оксиды азота, цианистый водород, пары изоцианатов.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11: ТОКСИКОЛОГИЧЕСКАЯ ИНФОРМАЦИЯ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11.1. Информация о классах опасности, определённых в Регламенте (ЕС) № 1272/2008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Токсикологические испытания для описываемого продукта не проводились. Оценка токсичности выполнена на основании данных для компонентов смеси.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a) острая токсичность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Вредно при воздействии через дыхательные пути — острая токсичность категории 4 — метод классификации на основании состава и свойств компонентов. Значение оценённой острой ингаляционной токсичности ATEmix (туманы) составляет ок. 1,5 мг/дм³ (4 ч).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проглатывании или контакте с кожей продукт не соответствует критериям классификации CLP. Оценённые значения острой токсичности при проглатывании или контакте с кожей ATEmix &gt; 2000 мг/кг м. т.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Проглатывание продукта может вызвать симптомы раздражения пищеварительного тракта — боли в животе, тошноту, рвоту, диарею. Прочие симптомы при контакте с кожей или с глазами, а также при вдыхании — см. пп. b) и d).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Токсичные дозы и концентрации для животных: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MDI (данные для смеси изомеров или изомера 4,4′-MDI):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DL50 (крыса, внутрижелудочно) &gt; 2000 мг/кг м. 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CL50 (крыса, ингаляция аэрозоля) 0,431 мг/дм³ (4 ч) (OECD Guideline 403) — испытательная атмосфера, созданная при испытаниях на животных, не является репрезентативной для условий рабочего места, способа выпуска вещества в обращение и способа рационального использования. Поэтому результат испытания не может применяться непосредственно для оценки опасности. На основании мнения экспертов и весомости доказательств обоснована изменённая классификация острой ингаляционной токсичности до категории 4.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DL50 (кролик, кожа) &gt; 9400 мг/кг м. т. (24 ч) (OECD Guideline 402)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Токсичные дозы и концентрации для человека: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данные по компонентам отсутствуют.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b) разъедание/раздражение кожи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Вызывает раздражение кожи — класс опасности: действие, раздражающее кожу, категория 2.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контакте с кожей может возникнуть местное покраснение, боль, зуд кожи, а также аллергические реакции (см. п. d). Повторяющийся контакт продукта с кожей может вызывать её уплотнение, появление обесцвечивания, аллергический контактный дерматит.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c) серьёзное повреждение глаз/раздражение глаз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Вызывает серьёзное раздражение глаз — класс опасности: действие, раздражающее глаза, категория 2.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Контакт с глазами вызывает раздражение глаз, боль, покраснение конъюнктивы, слезотечение.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d) сенсибилизирующее действие на дыхательные пути или кожу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Оказывает сенсибилизирующее действие на кожу и на дыхательные пути — категория 1.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Может вызывать аллергическую кожную реакцию (покраснение, зуд, сыпь). Повторяющийся контакт продукта с кожей может вызывать аллергический контактный дерматит.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Может вызывать симптомы аллергии или астмы либо затруднение дыхания при вдыхании.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Пары и/или аэрозоли изоцианатов оказывают сенсибилизирующее действие через дыхательные пути. Они могут вызвать раздражение дыхательных путей и сильную аллергическую реакцию со стороны дыхательной системы. У лиц с повышенной чувствительностью даже низкие концентрации вещества могут вызывать симптомы астмы — лица, сенсибилизированные к изоцианатам, не могут привлекаться к работе с продуктом. Симптомы воздействия изоцианатов включают ощущение сухости и боль в горле, раздражение и выделения из носа, поверхностное дыхание, одышку, свистящее дыхание, кашель, стеснение и боль в грудной клетке, ларингит. Некоторые симптомы воздействия изоцианатов (например, кашель, стеснение в грудной клетке) могут появиться как во время воздействия, так и спустя несколько или более часов, например часто возникают ночью. Они усугубляются физической нагрузкой, поэтому необходимо обеспечить пострадавшему покой, неподвижность и надлежащее врачебное наблюдение. Следствием отравления может быть пневмония или бронхит, часто с астматическими симптомами.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Повторяющееся ингаляционное воздействие изоцианатов может вызвать аллергию дыхательной системы; обычно первоначальные симптомы напоминают простуду, однако могут возникнуть тяжёлые астматические симптомы (поверхностное, свистящее дыхание, затруднение дыхания, чувство сдавления и боль в грудной клетке, кашель), а также лихорадка, озноб, головная боль, чувство усталости; симптомы возникают непосредственно во время воздействия или спустя несколько часов, например ночью; после последующих экспозиций симптомы нарастают; после прекращения воздействия (например, в выходные, в отпуске) состояние обычно улучшается, но симптомы появляются вновь после возвращения к работе, часто в виде острого приступа. Может возникнуть аллергический пневмонит с такими симптомами, как поверхностное дыхание, лихорадка, сухой кашель, озноб, чувство усталости.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e) мутагенное действие на клетки зародышевой линии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4,4′-MDI не оказывает мутагенного действия в тесте генных мутаций на Salmonella typhimurium (метод B13/14), не вызывает хромосомных аберраций у крыс в исследованиях in vivo (ингаляция, 1 ч/день, 1 раз/нед., 3 нед., OECD Guideline 474).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f) канцерогенное действие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классифицирована по канцерогенности по категории 2. Предполагается, что вызывает раковые заболевания.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воздействии аэрозоля MDI (самки крыс, ингаляция, 2 года, 17 ч/день, 5 дней/нед., OECD Guideline 453) значение NOAEC для канцерогенного эффекта составляет 0,7 мг/м³.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Промышленная очистка апротонными полярными растворителями (APS) может приводить к высвобождению канцерогенных первичных ароматических аминов.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g) вредное воздействие на репродуктивную функцию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Значение NOAEC MDI для материнской токсичности и токсичности для развития составляет 4 мг/м³ (крысы, ингаляция, 6 ч/день в течение 10 дней, OECD Guideline 414). Исследования влияния на фертильность и многопоколенческие исследования отсутствуют.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h) специфическая токсичность на органы-мишени — однократное воздействие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классифицирована по категории 3. Может вызывать раздражение дыхательных путей (кашель, чувство жжения в горле и в носу, поверхностное дыхание).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i) специфическая токсичность на органы-мишени — повторное воздействие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классифицирована по категории 2. Может вызывать повреждение органов при длительном или повторном воздействии.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воздействии аэрозоля MDI (самки крыс, ингаляция, 2 года, 17 ч/день, 5 дней/нед., OECD Guideline 453) значение NOAEC = 0,23 мг/м³ (лёгкие раздражения и воспалительные изменения носа, трахеобронхиального отдела и лёгких).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Хроническое воздействие низких концентраций изоцианатов может быть причиной нарушения функции лёгких, например снижения дыхательного объёма.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j) опасность при аспирации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Пути воздействия: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кожа, глаза, дыхательная система, пищеварительный тракт.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11.2. Информация о прочих опасностях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Свойства эндокринных разрушителей: смесь не содержит компонентов, внесённых в перечень, установленный согласно ст. 59 п. 1 Регламента (ЕС) № 1907/2006 (REACH), как обладающие свойствами эндокринных разрушителей, а также веществ со свойствами, нарушающими функционирование эндокринной системы, согласно критериям, определённым делегированным регламентом Комиссии (ЕС) 2017/2100 или регламентом Комиссии (ЕС) 2018/605, в концентрациях 0,1 % или более.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12: ЭКОЛОГИЧЕСКАЯ ИНФОРМАЦИЯ</w:t>
            </w:r>
          </w:p>
        </w:tc>
      </w:tr>
    </w:tbl>
    <w:p>
      <w:pPr>
        <w:spacing w:after="60" w:before="0"/>
      </w:pP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Согласно действующим нормативным актам (раздел 15) ни один из компонентов продукта, перечисленных в разделе 3, ни сам продукт не классифицированы как опасные для окружающей среды.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12.1. Токсичность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Токсичность 4,4′-MDI для водных организмов (литературные данные):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CL50 (рыбы Danio rerio) &gt; 100 мг/л/96 ч (OECD Guideline 203)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CE50 (ракообразные Daphnia magna) 3,7 мг/л/48 ч (OECD Guideline 202)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NOEC (ракообразные Daphnia magna) ≥ 10 мг/л/21 день (OECD Guideline 211)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EC50 (водоросли Desmodesmus subspicatus) &gt; 100 мг/л/72 ч (OECD Guideline 201)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EC50 (микроорганизмы, активный ил) &gt; 100 мг/л/3 ч (OECD Guideline 209)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Острая токсичность 4,4′-MDI для прочих организмов (литературные данные):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EC50 (почвенные организмы: дождевой червь Eisenia fetida) &gt; 1000 мг/кг сухой массы/14 дней (OECD Guideline 207)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EC50 (почвенные растения: Avena sativa и Lactuca sativa) &gt; 1000 мг/кг сухой массы/14 дней (OECD Guideline 208)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12.2. Стойкость и способность к разложению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MDI реагирует с водой с выделением диоксида углерода и химически инертных, нерастворимых полиуретанов.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12.3. Способность к биоаккумуляции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Оценено, что потенциал биоаккумуляции компонентов продукта мал. В случае MDI это обусловлено высокой реакционной способностью и быстрым гидролизом.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12.4. Подвижность в почве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MDI полимеризуется, образуя нерастворимые полиуретаны.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12.5. Результаты оценки свойств PBT и vPvB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Компоненты не признаны веществами СБТ (PBT) или оСБсБ (vPvB).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12.6. Свойства эндокринных разрушителей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содержит компонентов, внесённых в перечень, установленный согласно ст. 59 п. 1 Регламента (ЕС) № 1907/2006 (REACH), как обладающие свойствами эндокринных разрушителей, а также веществ со свойствами, нарушающими функционирование эндокринной системы, согласно критериям, определённым делегированным регламентом Комиссии (ЕС) 2017/2100 или регламентом Комиссии (ЕС) 2018/605, в концентрациях 0,1 % или более.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12.7. Прочие неблагоприятные последствия воздействия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предполагается влияния на глобальное потепление, уменьшение толщины озонового слоя, накопление озона в тропосфере, а также вторичных отравлений.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13: РЕКОМЕНДАЦИИ ПО УТИЛИЗАЦИИ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13.1. Методы обезвреживания отходов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Ликвидацию собранных отходов проводить в соответствии с действующими нормативными актами (см. раздел 15). Утилизация настоящего продукта или производных продуктов должна в каждом случае соответствовать требованиям охраны окружающей среды и законодательства, связанного с утилизацией отходов, а также требованиям местных органов власти.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Продукт: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утилизировать путём контролируемого сжигания в соответствующих, приспособленных для этой цели установках на авторизованном мусоросжигательном заводе.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удалять в канализацию, в водоёмы и в почву. Не удалять с бытовыми отходами.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Классификация отходов согласно Европейскому каталогу отходов (EWC):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Отходы классифицируются по источнику их образования, поэтому код отхода может изменяться в зависимости от способа и места образования отхода. Конкретный код отхода следует присваивать с учётом места и способа образования отхода, а также его состава. Символ * означает, что отход рассматривается как опасный.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08 05 01* — отходы изоцианатов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Неочищенная упаковка: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является опасным отходом. Очистка и нейтрализация остатков — см. раздел 6. Восстановление, рециклинг или ликвидацию упаковочных отходов, образующихся в сфере профессиональной деятельности, проводить в соответствии с действующими нормативными актами. Утилизация транспортных ёмкостей или иных резервуаров и загрязнённого оборудования должна проводиться уполномоченными лицами способом, не создающим угроз для окружающей среды.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Классификация отходов согласно Европейскому каталогу отходов (EWC):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15 01 10* — упаковка, содержащая остатки опасных веществ или загрязнённая ими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Ссылки на нормативные акты Сообщества / национальные нормативные акты: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Закон от 14 декабря 2012 г. об отходах (сводный текст Dz.U. 2023 поз. 1587 с последующими изменениями) — имплементация, в частности, директив 94/32/EC, 2000/76/EC, 2008/98/EC и 2010/75/EC.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Закон от 13 июня 2013 г. об обращении с упаковкой и упаковочными отходами (сводный текст Dz.U. 2023 поз. 1658 с последующими изменениями) — имплементация директивы 1994/62/EC с последующими изменениями (в том числе 2004/12/EC).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климата от 2 января 2020 г. о каталоге отходов (Dz.U. 2020 поз. 10) — имплементация решения Комиссии 2000/532/EC с последующими изменениями (в том числе 2001/118/EC).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См. также раздел 15.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14: ТРАНСПОРТНАЯ ИНФОРМАЦИЯ</w:t>
            </w:r>
          </w:p>
        </w:tc>
      </w:tr>
    </w:tbl>
    <w:p>
      <w:pPr>
        <w:spacing w:after="60" w:before="0"/>
      </w:pP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4746"/>
        <w:gridCol w:w="5800"/>
      </w:tblGrid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14.1. Номер ООН (UN) или идентификационный номер ID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применимо — продукт не является опасным грузом в свете транспортных правил ADR/RID, IMDG, ICAO-TI, IATA-DGR.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14.2. Надлежащее транспортное наименование ООН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применимо.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14.3. Класс(-ы) опасности при транспортировании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применимо.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14.4. Группа упаковки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применимо.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14.5. Опасность для окружающей среды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применимо.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14.6. Специальные меры предосторожности для пользователя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применимо.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14.7. Морская перевозка навалом/наливом согласно документам ИМО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применимо — не перевозится навалом/наливом.</w:t>
            </w:r>
          </w:p>
        </w:tc>
      </w:tr>
    </w:tbl>
    <w:p>
      <w:pPr>
        <w:spacing w:after="80" w:before="0"/>
      </w:pP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15: НОРМАТИВНАЯ ИНФОРМАЦИЯ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15.1. Нормативные акты по безопасности, охране здоровья и защите окружающей среды, специфичные для вещества или смеси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Ограничения согласно Приложению XVII Регламента REACH: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Ограничение, касающееся MDI и его изомеров в продуктах, поступающих в общую продажу (п. 56):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1. Не выпускается в обращение после 27 декабря 2010 г. в качестве компонента смесей в концентрациях, равных или превышающих 0,1 % массовых MDI, с целью общей продажи, если только перед выпуском в обращение поставщики не обеспечат, чтобы упаковка: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a) содержала защитные перчатки, соответствующие требованиям директивы Совета 89/686/EEC;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b) без ущерба для иных положений законодательства Сообщества, касающихся классификации, упаковки и маркировки веществ и смесей, была снабжена видимой, разборчивой и неудаляемой надписью следующего содержания:</w:t>
      </w:r>
    </w:p>
    <w:p>
      <w:pPr>
        <w:pBdr>
          <w:left w:val="single" w:color="1F3864" w:sz="12" w:space="8"/>
        </w:pBdr>
        <w:spacing w:after="100" w:before="100"/>
        <w:ind w:left="200"/>
      </w:pPr>
      <w:r>
        <w:rPr>
          <w:rFonts w:ascii="Calibri" w:cs="Calibri" w:eastAsia="Calibri" w:hAnsi="Calibri"/>
          <w:b w:val="false"/>
          <w:bCs w:val="false"/>
          <w:i/>
          <w:iCs/>
          <w:sz w:val="18"/>
          <w:szCs w:val="18"/>
        </w:rPr>
        <w:t xml:space="preserve">«— Применение этого продукта может вызывать аллергические реакции у лиц, сенсибилизированных к диизоцианатам.
— Лицам, страдающим астмой, экземой или кожными заболеваниями, следует избегать контакта, в том числе кожного контакта, с этим продуктом.
— Этот продукт не должен применяться при слабой вентиляции, если не используется защитная маска с соответствующим противогазовым фильтром (например, типа A1 согласно стандарту EN 14387)».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2. В порядке исключения п. 1 подп. a) не применяется к термоплавким клеям.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Ограничение, касающееся диизоцианатов O=C=N-R-N=C=O, в которых R является алифатическим или ароматическим углеводородным заместителем неопределённой длины (п. 74)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— с 24 августа 2023 г. требование обучения для профессиональных и промышленных пользователей перед началом применения смеси, содержащей 0,1 % или более диизоцианатов, а с 24 февраля 2022 г. — требование информирования получателей о вышеуказанном требовании и размещения соответствующей информации на маркировке: «С 24 августа 2023 г. требуется прохождение соответствующего обучения перед промышленным или профессиональным применением».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Постановление Совета Министров от 19 июня 2023 г. о перечне работ, запрещённых несовершеннолетним, и условиях их привлечения к некоторым из этих работ (Dz.U. 2023 поз. 1240):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Работы в условиях воздействия смеси включены в перечень работ, запрещённых несовершеннолетним.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Постановление Совета Министров от 19 апреля 2017 г. о перечне работ, обременительных, опасных или вредных для здоровья беременных женщин или женщин, кормящих ребёнка грудью (Dz.U. 2017 поз. 796):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Работы в условиях воздействия канцерогенных веществ категории 2 включены в вышеуказанный перечень.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Категория Seveso: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не подлежит.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Прочие нормативные акты: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(ЕС) № 1907/2006 Европейского парламента и Совета от 18 декабря 2006 г. о регистрации, оценке, выдаче разрешений и применяемых ограничениях в отношении химических веществ (REACH), учреждении Европейского химического агентства, изменяющий директиву 1999/45/EC и отменяющий регламент Совета (ЕЭС) № 793/93 и регламент Комиссии (ЕС) № 1488/94, а также директиву Совета 76/769/EEC и директивы Комиссии 91/155/EEC, 93/67/EEC, 93/105/EC и 2000/21/EC (в исправленной редакции, Официальный журнал ЕС L 136 от 29.05.2007, стр. 3, с последующими изменениями).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Комиссии (ЕС) № 2020/878 от 18 июня 2020 г., изменяющий Приложение II к Регламенту REACH (Официальный журнал L 203 от 26.06.2020, стр. 28).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(ЕС) № 1272/2008 Европейского парламента и Совета от 16 декабря 2008 г. о классификации, маркировке и упаковке веществ и смесей, изменяющий и отменяющий директивы 67/648/EEC и 1999/45/EC, а также изменяющий регламент (ЕС) № 1907/2006 (Официальный журнал ЕС L 353 от 31.12.2008, стр. 1, с последующими изменениями).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(ЕС) № 2016/425 Европейского парламента и Совета от 9 марта 2016 г. о средствах индивидуальной защиты и отмене директивы 89/686/EEC (Официальный журнал ЕС L 81 от 31.03.2016, стр. 51).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Закон Республики Польша от 25 февраля 2011 г. о химических веществах и их смесях (Dz.U. 2022 поз. 1816).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труда и социальной политики от 26 сентября 1997 г. об общих правилах безопасности и гигиены труда (Dz.U. № 169/2003 поз. 1650 с последующими изменениями, в том числе 2021 г. поз. 2088).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здравоохранения от 30 декабря 2004 г. о безопасности и гигиене труда, связанной с присутствием на рабочем месте химических факторов (Dz.U. 2016 поз. 1488).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экономики и труда от 27 июля 2004 г. об обучении в области безопасности и гигиены труда (Dz.U. № 180/2004 поз. 1860 с последующими изменениями).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здравоохранения от 25 августа 2015 г. о способе обозначения мест, трубопроводов, а также ёмкостей и резервуаров, служащих для хранения или содержащих вещества, представляющие опасность, или смеси, представляющие опасность (Dz.U. 2015 поз. 1368).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семьи, труда и социальной политики от 12 июня 2018 г. о предельно допустимых концентрациях и интенсивностях вредных для здоровья факторов в производственной среде (Dz.U. 2018 поз. 1286 с последующими изменениями).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здравоохранения от 2 февраля 2011 г. об исследованиях и измерениях вредных для здоровья факторов в производственной среде (Dz.U. 2023 поз. 419).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здравоохранения и социального обеспечения от 30 мая 1996 г. о проведении медицинских осмотров работников, объёме профилактического медицинского обслуживания работников и врачебных заключениях, выдаваемых для целей, предусмотренных Трудовым кодексом (Dz.U. 2023 поз. 607).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здравоохранения от 24 июля 2012 г. о химических веществах, их смесях, факторах или технологических процессах канцерогенного или мутагенного действия в производственной среде (Dz.U. 2021 поз. 2235 с изменениями).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экономики от 29 января 2016 г. о видах и количествах находящихся на предприятии опасных веществ, определяющих отнесение предприятия к предприятию повышенного или высокого риска возникновения крупной промышленной аварии (Dz.U. 2016 поз. 138) — имплементация директивы 2012/18/EU, так называемой директивы Seveso III.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окружающей среды от 24 августа 2012 г. об уровнях некоторых веществ в воздухе (Dz.U. 2021 поз. 845) — имплементация директив 2004/107/EC и 2008/50/EC.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окружающей среды от 26 января 2010 г. о референсных значениях для некоторых веществ в воздухе (Dz.U. № 16/2010 поз. 87).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развития от 8 августа 2016 г. об ограничении выбросов летучих органических соединений, содержащихся в некоторых красках и лаках, предназначенных для окраски зданий и их отделочных и оснащающих элементов, а также связанных со зданиями и этими элементами конструкций, и в смесях для обновления транспортных средств (Dz.U. 2016 поз. 1353).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строительства от 14 июля 2006 г. о способе выполнения обязанностей поставщиками промышленных сточных вод и условиях сброса сточных вод в канализационные устройства (Dz.U. 2016 поз. 1757).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морского хозяйства и внутреннего судоходства от 12 июля 2019 г. о веществах, особо вредных для водной среды, и условиях, которые следует выполнять при сбросе в воды или в грунт сточных вод, а также при отведении ливневых или талых вод в воды или в водные устройства (Dz.U. 2019 поз. 1311) — имплементация директив 91/271/EEC и 2010/75/EU.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Закон от 14 декабря 2012 г. об отходах (Dz.U. 2023 поз. 1587 с последующими изменениями) — имплементация, в частности, директив 99/31/EC, 94/62/EC, 2008/98/EC, 2010/75/EU и 2012/19/EU, а также Регламента Комиссии (ЕС) № 1357/2014.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Закон от 13 июня 2013 г. об обращении с упаковкой и упаковочными отходами (Dz.U. 2023 поз. 1658 с последующими изменениями) — имплементация, в частности, директивы 94/62/EC с последующими изменениями.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климата от 2 января 2020 г. о каталоге отходов (Dz.U. 2020 поз. 10) — имплементация решения Комиссии 2000/532/EC с последующими изменениями.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Правительственное заявление от 13 марта 2023 г. о вступлении в силу изменений к приложениям A и B к Европейскому соглашению о международной дорожной перевозке опасных грузов (ADR), составленному в Женеве 30 сентября 1957 г. (Dz.U. 2023 поз. 891).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Правительственное заявление от 13 марта 2023 г. о вступлении в силу изменений к Регламенту о международной перевозке опасных грузов по железным дорогам (RID), составляющему приложение C к Конвенции о международных железнодорожных перевозках (COTIF), составленной в Берне 9 мая 1980 г. (Dz.U. 2023 поз. 789).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15.2. Оценка химической безопасности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Согласно информации поставщиков сырья, оценка химической безопасности не проводилась.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16: ПРОЧАЯ ИНФОРМАЦИЯ</w:t>
            </w:r>
          </w:p>
        </w:tc>
      </w:tr>
    </w:tbl>
    <w:p>
      <w:pPr>
        <w:spacing w:after="6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a) актуализация паспорта охватывает следующие изменения: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Приведение в соответствие с требованиями регламента 2020/878 (разделы 1–16).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Введение кода UFI, актуализация области применения и видов применения, которые не рекомендуются (раздел 1).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Актуализация информации об ограничениях согласно Регламенту REACH (разделы 2 и 15).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Актуализация требований к маркировке (раздел 2).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Актуализация состава, добавление регистрационных номеров компонентов и предельных концентраций (раздел 3).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Актуализация значений DNEL (раздел 8) и физических и химических свойств (раздел 9).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Актуализация норм и нормативных актов и связанных с ними требований (разделы 8, 13, 15).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b) расшифровка сокращений и акронимов: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2320"/>
        <w:gridCol w:w="8226"/>
      </w:tblGrid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NDS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предельно допустимая концентрация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NDSCh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предельно допустимая концентрация кратковременного воздействия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DSB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допустимая концентрация в биологическом материале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IOELv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индикативный допустимый уровень профессионального воздействия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LC50 (CL50) / LD50 (DL50)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медиана смертельной концентрации / смертельной дозы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LC100 (CL100) / LD100 (DL100)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концентрация/доза, вызывающая гибель 100 % исследуемой популяции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EC10 / LC10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концентрация, вызывающая эффект / смертельная концентрация для 10 % исследуемой популяции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EC50 / IC50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концентрация, вызывающая эффект у 50 % исследуемой популяции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ErC50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концентрация, вызывающая эффект (снижение скорости роста) для 50 % исследуемой популяции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NOEL(C)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уровень (концентрация) без наблюдаемого действия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NOELR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уровень без наблюдаемого действия показателя нагрузки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NOAEL(C)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уровень (концентрация) без наблюдаемого вредного действия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LOAEL(C)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наименьший уровень (концентрация), при котором наблюдается вредное действие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LDL0 / LCL0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наименьшая смертельная доза (концентрация)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DL0 / CL0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доза (концентрация), не вызывающая гибели в исследуемой популяции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PNEC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прогнозируемая концентрация, не вызывающая изменений в окружающей среде (Predicted No Effect Concentration)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DNEL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производный уровень, не вызывающий изменений (Derived No Effect Level)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PBT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СБТ — стойкое, биоаккумулятивное и токсичное вещество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vPvB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оСБсБ — очень стойкое и очень биоаккумулятивное вещество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c) ссылки на ключевую литературу и источники данных: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Паспорт разработан на основании паспортов безопасности сырья, составленных поставщиками, литературных данных о последствиях действия изоцианатов, информации с сайта Европейского химического агентства (ECHA), а также действующих в Польше нормативных актов, касающихся химических веществ и их смесей.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d) метод классификации смеси: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Классификация продукта по опасностям для здоровья и окружающей среды выполнена расчётным методом на основании предельных концентраций компонентов, представляющих опасность, в смеси. При классификации по физико-химическим свойствам учтена информация о физических свойствах компонентов и смеси.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e) перечень символов, указывающих класс и категорию опасности, и H-фраз, приведённых в разделах 2 и 3 паспорта безопасности, с их полной формулировкой: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2109"/>
        <w:gridCol w:w="8437"/>
      </w:tblGrid>
      <w:tr>
        <w:trPr>
          <w:tblHeader/>
        </w:trP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Код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Полная формулировка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Irrit. 2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Действие, раздражающее кожу, категория 2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H315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Вызывает раздражение кожи.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Sens. 1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Сенсибилизирующее действие на кожу, категория 1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H317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Может вызывать аллергическую кожную реакцию.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Irrit. 2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Действие, раздражающее глаза, категория 2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H319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Вызывает серьёзное раздражение глаз.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Acute Tox. 4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Острая токсичность, категория 4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H332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Вредно при вдыхании.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Resp. Sens. 1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Сенсибилизирующее действие на дыхательные пути, категория 1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H334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Может вызывать симптомы аллергии или астмы либо затруднение дыхания при вдыхании.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STOT SE 3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Специфическая токсичность на органы-мишени (однократное воздействие), категория 3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H335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Может вызывать раздражение дыхательных путей.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Carc. 2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Канцерогенность, категория 2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H351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Предполагается, что вызывает раковые заболевания.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STOT RE 2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Специфическая токсичность на органы-мишени (повторное воздействие), категория 2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H373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Может вызывать повреждение органов, поступая через дыхательные пути, при длительном или повторном воздействии.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EUH204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Содержит изоцианаты. Может вызывать аллергическую реакцию.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f) рекомендации относительно необходимого обучения работников в целях обеспечения охраны здоровья человека и окружающей среды: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Работодатель обязан проинформировать работников, имеющих контакт с продуктом, об опасностях и средствах индивидуальной защиты, перечисленных в настоящем паспорте безопасности. Перед началом работы с продуктом пользователь должен ознакомиться с правилами охраны труда при работе с химикатами, и в частности пройти соответствующее обучение на рабочем месте; обучение по охране труда проводить в соответствии с действующими нормативными актами — раздел 15.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Продукт содержит диизоцианаты. С 24 августа 2023 г. требуется прохождение соответствующего обучения перед промышленным или профессиональным применением.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Дополнительная информация: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Приведённая выше информация разработана на основании текущего состояния знаний и относится к продукту в том виде, в котором он применяется. Данные, касающиеся этого продукта, представлены с целью учёта требований безопасности, а не гарантирования его особых свойств.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 случае если условия применения продукта не находятся под контролем производителя, ответственность за безопасное применение продукта несёт пользователь.</w:t>
      </w:r>
    </w:p>
    <w:p>
      <w:pPr>
        <w:spacing w:after="140" w:before="0"/>
      </w:pPr>
    </w:p>
    <w:sectPr>
      <w:pgSz w:w="11906" w:h="16838" w:orient="portrait"/>
      <w:pgMar w:top="680" w:right="680" w:bottom="680" w:left="680" w:header="708" w:footer="708" w:gutter="0"/>
      <w:pgBorders w:display="allPages" w:offsetFrom="page">
        <w:top w:val="single" w:color="8EA9DB" w:sz="6" w:space="20"/>
        <w:left w:val="single" w:color="8EA9DB" w:sz="6" w:space="20"/>
        <w:bottom w:val="single" w:color="8EA9DB" w:sz="6" w:space="20"/>
        <w:right w:val="single" w:color="8EA9DB" w:sz="6" w:space="20"/>
      </w:pgBorders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340" w:hanging="200"/>
      </w:pPr>
      <w:rPr>
        <w:rFonts w:ascii="Calibri" w:cs="Calibri" w:eastAsia="Calibri" w:hAnsi="Calibri"/>
        <w:sz w:val="16"/>
        <w:szCs w:val="16"/>
      </w:r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18"/>
        <w:szCs w:val="18"/>
      </w:rPr>
    </w:rPrDefault>
    <w:pPrDefault>
      <w:pPr>
        <w:spacing w:line="24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2026-07-29T07:29:20.083Z</dcterms:created>
  <dcterms:modified xsi:type="dcterms:W3CDTF">2026-07-29T07:29:20.097Z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