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60"/>
        <w:jc w:val="center"/>
      </w:pPr>
      <w:r>
        <w:rPr>
          <w:i/>
          <w:iCs/>
          <w:sz w:val="22"/>
          <w:szCs w:val="22"/>
        </w:rPr>
        <w:t xml:space="preserve">согласно UK REACH</w:t>
      </w:r>
    </w:p>
    <w:p>
      <w:pPr>
        <w:pBdr>
          <w:bottom w:val="single" w:color="1F3864" w:sz="8" w:space="4"/>
        </w:pBdr>
        <w:spacing w:after="240"/>
        <w:jc w:val="center"/>
      </w:pPr>
      <w:r>
        <w:rPr>
          <w:b/>
          <w:bCs/>
          <w:sz w:val="26"/>
          <w:szCs w:val="26"/>
        </w:rPr>
        <w:t xml:space="preserve">MAGIC OIL CARE</w:t>
      </w:r>
    </w:p>
    <w:p>
      <w:pPr>
        <w:spacing w:after="200"/>
        <w:jc w:val="center"/>
      </w:pPr>
      <w:r>
        <w:rPr>
          <w:i/>
          <w:iCs/>
          <w:sz w:val="18"/>
          <w:szCs w:val="18"/>
        </w:rPr>
        <w:t xml:space="preserve">Дата печати: 08.05.2026   ·   Версия № 9   ·   Редакция: 08.05.2026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1.1 Идентификатор продукта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CARE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Сектор применения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SU19 Строительство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PC35 Моющие и чистящие средства (в т. ч. на основе растворителей)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эмульсия по уходу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Виды использования, не рекомендуемые к применению: дополнительная значимая информация отсутствует.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PALLMANN GmbH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 Kreuz 6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D-97076 Würzburg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Тел. +49 931-27964-0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 можно получить у: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Products Development Lab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1.4 Телефон экстренной связи: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Медицинская помощь (Информационный центр по отравлениям GIZ-Nord): +49 551 19240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2.1 Классификация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классифицируется как опасный согласно регламенту GB CLP.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2.2 Элементы маркировки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2.3 Прочие опасности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СБТ: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которые могут считаться стойкими, биоаккумулятивными и токсичными (СБТ).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оСБсБ: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которые могут считаться очень стойкими и очень биоаккумулятивными (оСБсБ), в концентрациях 0,1 % и выше.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Определение свойств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являющихся эндокринными разрушителями согласно Статье 57(f) UK REACH, Делегированному регламенту (ЕС) 2017/2100 или Делегированному регламенту (ЕС) 2018/605, в концентрациях 0,1 % и выше.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3.2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чистящее средство на водной основе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8"/>
        <w:gridCol w:w="2980"/>
        <w:gridCol w:w="2794"/>
        <w:gridCol w:w="931"/>
      </w:tblGrid>
      <w:tr>
        <w:trPr>
          <w:tblHeader/>
        </w:trPr>
        <w:tc>
          <w:tcPr>
            <w:tcW w:type="dxa" w:w="260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</w:t>
            </w:r>
          </w:p>
        </w:tc>
        <w:tc>
          <w:tcPr>
            <w:tcW w:type="dxa" w:w="29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93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Концентр.</w:t>
            </w:r>
          </w:p>
        </w:tc>
      </w:tr>
      <w:tr>
        <w:tc>
          <w:tcPr>
            <w:tcW w:type="dxa" w:w="260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29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1,2-бензизотиазол-3(2H)-он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Acute Tox. 2, H330; Eye Dam. 1, H318; Aquatic Acute 1, H400; Aquatic Chronic 1, H410; Acute Tox. 4, H302; Skin Irrit. 2, H315; Skin Sens. 1A, H317. ATE: LD50 орально 450 мг/кг; LC50/4ч ингаляционно 0,21 мг/л. Специфический предел концентрации: Skin Sens. 1A; H317: C ≥ 0,036 %</w:t>
            </w:r>
          </w:p>
        </w:tc>
        <w:tc>
          <w:tcPr>
            <w:tcW w:type="dxa" w:w="93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&lt;0,036%</w:t>
            </w:r>
          </w:p>
        </w:tc>
      </w:tr>
      <w:tr>
        <w:tc>
          <w:tcPr>
            <w:tcW w:type="dxa" w:w="260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29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</w:tc>
        <w:tc>
          <w:tcPr>
            <w:tcW w:type="dxa" w:w="279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H317, EUH071. Специфические пределы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tcPr>
            <w:tcW w:type="dxa" w:w="93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&lt;0,0015%</w:t>
            </w:r>
          </w:p>
        </w:tc>
      </w:tr>
    </w:tbl>
    <w:p>
      <w:pPr>
        <w:spacing w:after="100" w:before="0"/>
      </w:pPr>
    </w:p>
    <w:p>
      <w:pPr>
        <w:pBdr>
          <w:left w:val="single" w:color="1F3864" w:sz="18" w:space="8"/>
        </w:pBdr>
        <w:spacing w:after="120" w:before="12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4.1 Описание мер первой помощи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особых мер не требуется.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смыть водой с мылом и тщательно промыть.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несколько минут под проточной водой. При сохранении симптомов обратиться к врачу.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обратиться за медицинской помощью.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5.1 Средства пожаротушения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 тушения: CO₂, порошок или водяной распылитель. При крупных пожарах использовать водяной распылитель или пену, устойчивую к спирту.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Непригодные средства тушения по соображениям безопасности: вода сплошной струёй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5.3 Рекомендации для пожарных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Защитное оборудование: особых мер не требуется.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требуются.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 / поверхностные или грунтовые воды.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проникновения в почву/грунт.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Собрать при помощи жидкостно-связывающего материала (песок, диатомит, кислотосвязывающие средства, универсальные сорбенты, опилки).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6.4 Ссылка на другие разделы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для информации о безопасном обращении.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8 для информации о средствах индивидуальной защиты.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13 для информации по утилизации.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попадания в глаза и на кожу.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по пожаро- и взрывозащите: особых мер не требуется.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7.2 Условия для безопасного хранения, включая несовместимость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Хранение: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информация об условиях хранения: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Хранить ёмкость плотно закрытой.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Беречь от мороза.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закрывать открытые ёмкости и хранить в вертикальном положении во избежание утечки.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7.3 Специфическое конечное применение(я)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8.1 Параметры контроля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Компоненты с предельными значениями, подлежащие контролю на рабочем месте: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8.2 Меры по ограничению воздействия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Соответствующие технические меры контроля: дополнительных данных нет; см. раздел 7.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Общие защитные и гигиенические меры: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 при достаточной вентиляции помещения.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обязательна. При чувствительной коже использовать лёгкие защитные перчатки.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Материал перчаток: ПВХ или ПЭ (EN 374)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Время проницаемости материала перчаток: неприменимо.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Защитные очки (EN 166)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Общая информация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4657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Белый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Слабый, характерный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Порог восприятия запаха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плавления/замерзания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Воспламеняемость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Неприменимо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Нижний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Верхний предел взрываемости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разложения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7,5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Кинематическая вязкость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13 с (ISO 4 мм)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Коэффициент распределения н-октанол/вода (лог. значение)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определён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Давление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определено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1,01 г/см³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Относительная плотность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паров</w:t>
            </w:r>
          </w:p>
        </w:tc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9.2 Прочая информация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Форма: жидкая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самовоспламенения: продукт не является самовоспламеняющимся.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Скорость испарения: не определена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Информация в отношении классов физической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перечисленных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самореактивные вещества, пирофорные жидкости и твёрдые вещества, самонагревающиеся вещества, вещества, выделяющие 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 к продукту не применяется.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10.1 Реакционная способность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10.2 Химическая стабильность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Стабилен в нормальных условиях.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разложения не происходит при использовании по назначению.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10.3 Возможность опасных реакций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10.4 Условия, которых следует избегать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10.5 Несовместимые материалы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10.6 Опасные продукты разложения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11.1 Информация о классах опасности, определённых Регламентом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выполняются.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Значения LD/LC50, значимые для классификации: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2329"/>
        <w:gridCol w:w="2329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1,2-бензизотиазол-3(2H)-он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Оральный LD50 (ATE)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450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LC50/4ч (ATE)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0,21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Смесь изотиазолинонов (3:1)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Оральный LD50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64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Дермальный LD50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87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Дермальный LD50 (кролик)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200–1 000 мг/кг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Ингаляционный LC50/4ч (крыса)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0,17 мг/л</w:t>
            </w:r>
          </w:p>
        </w:tc>
      </w:tr>
    </w:tbl>
    <w:p>
      <w:pPr>
        <w:spacing w:after="100" w:before="0"/>
      </w:pPr>
    </w:p>
    <w:p>
      <w:pPr>
        <w:spacing w:after="60" w:before="160"/>
      </w:pPr>
      <w:r>
        <w:rPr>
          <w:b/>
          <w:bCs/>
          <w:sz w:val="21"/>
          <w:szCs w:val="21"/>
        </w:rPr>
        <w:t xml:space="preserve">Первичное раздражающее воздействие: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Раздражение/разъедание кожи: на основании имеющихся данных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Сенсибилизация дыхательных путей или кожи: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Мутагенность зародышевых клеток: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Канцерогенность: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Репродуктивная токсичность: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критерии классификации не выполняются.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при аспирации: критерии классификации не выполняются.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11.2 Информация о прочих опасностях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Ни один из компонентов не включён в перечень.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12.1 Токсичность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57"/>
        <w:gridCol w:w="2329"/>
        <w:gridCol w:w="2329"/>
      </w:tblGrid>
      <w:tr>
        <w:trPr>
          <w:tblHeader/>
        </w:trP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1,2-бензизотиазол-3(2H)-он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EC50/48ч (Daphnia magna)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3,27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LC50/96ч (Oncorhynchus mykiss)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2,2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Смесь изотиазолинонов (3:1)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EC50/48ч (Daphnia magna)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0,16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EC50/72ч (водоросли)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0,018 мг/л</w:t>
            </w:r>
          </w:p>
        </w:tc>
      </w:tr>
      <w:tr>
        <w:tc>
          <w:tcPr>
            <w:tcW w:type="dxa" w:w="465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LC50/96ч (Oncorhynchus mykiss)</w:t>
            </w:r>
          </w:p>
        </w:tc>
        <w:tc>
          <w:tcPr>
            <w:tcW w:type="dxa" w:w="232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0,22 мг/л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12.2 Стойкость и способность к разложению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12.3 Биоаккумулятивный потенциал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12.4 Мобильность в почве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12.5 Результаты оценки СБТ и оСБсБ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СБТ: данное вещество/смесь не содержит компонентов, которые могут считаться стойкими, биоаккумулятивными и токсичными.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оСБсБ: данное вещество/смесь не содержит компонентов, которые могут считаться очень стойкими и очень биоаккумулятивными, в концентрациях 0,1 % и выше.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12.6 Свойства эндокринных разрушителей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Данное вещество/смесь не содержит компонентов, являющихся эндокринными разрушителями согласно Статье 57(f) UK REACH, Делегированному регламенту (ЕС) 2017/2100 или Делегированному регламенту (ЕС) 2018/605, в концентрациях 0,1 % и выше.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12.7 Прочие неблагоприятные эффекты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Дополнительная экологическая информация: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водоёмы или канализацию.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13.1 Методы обработки отходов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Рекомендация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Европейский классификатор отходов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08 01 12 отходы краски и лака, отличные от указанных в 08 01 11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15 01 02 пластиковая упаковка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Загрязнённая упаковка: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Рекомендация: тщательно опорожнить загрязнённую упаковку. После надлежащей очистки она может быть переработана.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14.1 Номер ООН или идентификационный номер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14.2 Надлежащее транспортное наименование ООН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14.3 Класс(ы) транспортной 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14.4 Группа упаковки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14.5 Опасности для окружающей среды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Неприменимо.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Транспорт / дополнительная информация: не является опасным согласно вышеуказанным характеристикам.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Типовые правила ООН: отсутствует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15.1 Правила по безопасности, охране здоровья и окружающей среды, специфичные для вещества или смеси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Закон о ядовитых веществах (Poisons Act)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Регулируемые ядовитые вещества: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Ядовитые вещества, подлежащие отчётности: ни один из компонентов не включён в перечень.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Директива 2012/18/EU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60"/>
      </w:pPr>
      <w:r>
        <w:rPr>
          <w:b/>
          <w:bCs/>
          <w:i w:val="false"/>
          <w:iCs w:val="false"/>
          <w:sz w:val="21"/>
          <w:szCs w:val="21"/>
        </w:rPr>
        <w:t xml:space="preserve">15.2 Оценка химической безопасности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tbl>
      <w:tblPr>
        <w:tblW w:type="dxa" w:w="931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14"/>
      </w:tblGrid>
      <w:tr>
        <w:tc>
          <w:tcPr>
            <w:tcW w:type="dxa" w:w="9314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100" w:before="0"/>
      </w:pP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Эта информация основана на наших текущих знаниях.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H302 Вреден при проглатывании.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H310 Смертельно при попадании на кожу.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H314 Вызывает серьёзные ожоги кожи и повреждение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H318 Вызывает серьёзное повреждение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H319 Вызывает серьёзное раздражение глаз.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H410 Очень токсично для водных организмов с долгосрочным эффектом.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EUH071 Вызывает коррозию дыхательных путей.</w:t>
      </w:r>
    </w:p>
    <w:p>
      <w:pPr>
        <w:pBdr>
          <w:left w:val="single" w:color="1F3864" w:sz="18" w:space="8"/>
        </w:pBdr>
        <w:spacing w:after="120" w:before="12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Контакт: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60"/>
      </w:pPr>
      <w:r>
        <w:rPr>
          <w:b/>
          <w:bCs/>
          <w:sz w:val="21"/>
          <w:szCs w:val="21"/>
        </w:rPr>
        <w:t xml:space="preserve">Сокращения и акронимы: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RID: Международное соглашение о железнодорожной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ICAO: Международная организация гражданской авиации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ADR: Европейское соглашение о международной дорожной перевозке опасных грузов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IMDG: Международный морской кодекс по опасным грузам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IATA: Международная ассоциация воздушного транспорта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EINECS: Европейский перечень существующих коммерческих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ELINCS: Европейский список зарегистрированных химических веществ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CAS: Chemical Abstracts Service (подразделение Американского химического общества)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LC50: летальная концентрация, 50 процентов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LD50: летальная доза, 50 процентов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PBT: стойкое, биоаккумулятивное и токсичное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vPvB: очень стойкое и очень биоаккумулятивное вещество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ATE: расчётные значения острой токсичности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3: острая токсичность — категория 3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4: острая токсичность — категория 4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Acute Tox. 2: острая токсичность — категория 2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Corr. 1C: разъедание/раздражение кожи — категория 1C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Irrit. 2: разъедание/раздражение кожи — категория 2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Eye Dam. 1: серьёзное повреждение/раздражение глаз — категория 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Skin Sens. 1A: сенсибилизация кожи — категория 1A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Aquatic Acute 1: опасно для водной среды — острая опасность — категория 1</w:t>
      </w:r>
    </w:p>
    <w:p>
      <w:pPr>
        <w:spacing w:after="60" w:before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Aquatic Chronic 1: опасно для водной среды — долгосрочная опасность — категория 1</w:t>
      </w:r>
    </w:p>
    <w:p>
      <w:pPr>
        <w:spacing w:after="60" w:before="60"/>
      </w:pPr>
      <w:r>
        <w:rPr>
          <w:b w:val="false"/>
          <w:bCs w:val="false"/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sectPr>
      <w:pgSz w:w="11906" w:h="16838" w:orient="portrait"/>
      <w:pgMar w:top="1296" w:right="1296" w:bottom="1296" w:left="1296" w:header="708" w:footer="708" w:gutter="0"/>
      <w:pgBorders w:display="allPages" w:offsetFrom="page" w:zOrder="front">
        <w:top w:val="single" w:color="8EA9DB" w:sz="12" w:space="24"/>
        <w:left w:val="single" w:color="8EA9DB" w:sz="12" w:space="24"/>
        <w:bottom w:val="single" w:color="8EA9DB" w:sz="12" w:space="24"/>
        <w:right w:val="single" w:color="8EA9DB" w:sz="12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2026-07-21T13:16:27.017Z</dcterms:created>
  <dcterms:modified xsi:type="dcterms:W3CDTF">2026-07-21T13:16:27.017Z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