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1F3864" w:sz="8" w:space="4"/>
        </w:pBdr>
        <w:spacing w:after="240"/>
        <w:jc w:val="center"/>
      </w:pPr>
      <w:r>
        <w:rPr>
          <w:b/>
          <w:bCs/>
          <w:sz w:val="26"/>
          <w:szCs w:val="26"/>
        </w:rPr>
        <w:t xml:space="preserve">VOLLPFLEGE / FINISH CARE</w:t>
      </w:r>
    </w:p>
    <w:p>
      <w:pPr>
        <w:spacing w:after="200"/>
        <w:jc w:val="center"/>
      </w:pPr>
      <w:r>
        <w:rPr>
          <w:i/>
          <w:iCs/>
          <w:sz w:val="18"/>
          <w:szCs w:val="18"/>
        </w:rPr>
        <w:t xml:space="preserve">Дата печати: 12.05.2022   ·   Версия № 9   ·   Редакция: 12.05.2022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1.1 Идентификатор продукта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VOLLPFLEGE / FINISH CARE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Сектор применения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SU19 Строительство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PC35 Моющие и чистящие средства (в т. ч. на основе растворителей)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эмульсия по уходу для первичной и регулярной очистки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PALLMANN GmbH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 Kreuz 6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D-97076 Würzburg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можно получить у: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Products Development Lab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msds.info@uzin-utz.com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1.4 Телефон экстренной связи: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Медицинская помощь (Информационный центр по отравлениям GIZ-Nord): +49 551 19240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Экстренная помощь при транспортировке: +49 621 60 43 333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2.1 Классификация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классифицируется как опасный согласно Регламенту CLP.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2.2 Элементы маркировки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2.3 Прочие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неприменимо.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3.2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чистящее средство на водной основе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8"/>
        <w:gridCol w:w="2980"/>
        <w:gridCol w:w="2794"/>
        <w:gridCol w:w="931"/>
      </w:tblGrid>
      <w:tr>
        <w:trPr>
          <w:tblHeader/>
        </w:trP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Концентр.</w:t>
            </w:r>
          </w:p>
        </w:tc>
      </w:tr>
      <w:t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1,2-бензизотиазол-3(2H)-он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Eye Dam. 1, H318; Aquatic Acute 1, H400; Acute Tox. 4, H302; Skin Irrit. 2, H315; Skin Sens. 1, H317. Специфический предел концентрации: Skin Sens. 1; H317: C ≥ 0,05 %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&lt;0,05%</w:t>
            </w:r>
          </w:p>
        </w:tc>
      </w:tr>
      <w:t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H317. 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&lt;0,0015%</w:t>
            </w:r>
          </w:p>
        </w:tc>
      </w:tr>
    </w:tbl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Регламент (ЕС) № 648/2004 по моющим средствам / маркировка состава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520"/>
        <w:gridCol w:w="2794"/>
      </w:tblGrid>
      <w:tr>
        <w:trPr>
          <w:tblHeader/>
        </w:trPr>
        <w:tc>
          <w:tcPr>
            <w:tcW w:type="dxa" w:w="65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65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неионогенные ПАВ, отдушки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&lt;5%</w:t>
            </w:r>
          </w:p>
        </w:tc>
      </w:tr>
    </w:tbl>
    <w:p>
      <w:pPr>
        <w:spacing w:after="100" w:before="0"/>
      </w:pP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4.1 Описание мер первой помощи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особых мер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смыть водой с мылом и тщательно промыть.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несколько минут под проточной водой. Затем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обратиться за медицинской помощью.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5.1 Средства пожаротушения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 тушения: CO₂, порошок или водяной распылитель. При крупных пожарах использовать водяной распылитель или пену, устойчивую к спирту.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Непригодные средства тушения по соображениям безопасности: вода сплошной струёй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5.3 Рекомендации для пожарных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Защитное оборудование: автономный дыхательный аппарат.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посторонних лиц.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 / поверхностные или грунтовые воды.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проникновения в почву/грунт.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Собрать при помощи жидкостно-связывающего материала (песок, диатомит, кислотосвязывающие средства, универсальные сорбенты, опилки).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6.4 Ссылка на другие разделы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для информации о безопасном обращении.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8 для информации о средствах индивидуальной защиты.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13 для информации по утилизации.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 недоступном для детей месте.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попадания в глаза 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по пожаро- и взрывозащите: особых мер не требуется.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7.2 Условия для безопасного хранения, включая несовместимость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Хранение: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 об условиях хранения: беречь от мороза.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7.3 Специфическое конечное применение(я)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8.1 Параметры контроля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Компоненты с предельными значениями, подлежащие контролю на рабочем месте: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8.2 Меры по ограничению воздействия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Соответствующие технические меры контроля: дополнительных данных нет; см. раздел 7.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Общие защитные и гигиенические меры: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Обычные меры предосторожности должны соблюдаться при обращении с химикатами.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и пропитанную одежду.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вдали от пищевых продуктов, напитков и корма.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Перчатки из ПВХ или ПЭ (EN 374)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Материал перчаток: ПВХ или ПЭ (EN 374)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Время проницаемости материала перчаток: точное время прорыва должно быть определено производителем защитных перчаток и соблюдаться.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Защитные очки (EN 166)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Общая информация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4657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Белый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Слабый, характерный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Порог восприятия запаха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плавления/замерзания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определены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Воспламеняемость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Неприменимо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Нижний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Верхний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самовоспламенения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Продукт не является самовоспламеняющимся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разложения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Кинематическая вязкость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12 с (ISO 4 мм)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Коэффициент распределения н-октанол/вода (лог. значение)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Давление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1,04 г/см³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Относительная плотность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9.2 Прочая информация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Форма: жидкая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Скорость испарения: не определена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Информация в отношении классов физической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перечисленных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самореактивные вещества, пирофорные жидкости и твёрдые вещества, самонагревающиеся вещества, вещества, выделяющие 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 к продукту не применяется.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10.1 Реакционная способность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10.2 Химическая стабильность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разложения не происходит при использовании по назначению.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10.3 Возможность опасных реакций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10.4 Условия, которых следует избегать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10.5 Несовместимые материалы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10.6 Опасные продукты разложения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11.1 Информация о классах опасности, определённых Регламентом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Раздражение/разъедание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Серьёзное повреждение/раздражение глаз: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Сенсибилизация дыхательных путей или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Мутагенность зародышевых клеток: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Канцерогенность: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Репродуктивная токсичность: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при аспирации: критерии классификации не выполняются.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11.2 Информация о прочих опасностях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компонентов не включён в перечень.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12.1 Токсичность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12.2 Стойкость и способность к разложению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12.3 Биоаккумулятивный потенциал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12.4 Мобильность в почве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12.5 Результаты оценки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12.6 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12.7 Прочие неблагоприятные эффекты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экологическая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водоёмы или канализацию.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13.1 Методы обработки отходов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Рекомендация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Небольшие количества можно развести большим количеством воды и смыть. Утилизацию больших количеств проводить в соответствии с требованиями местных органов власти.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Загрязнённая упаковка: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Рекомендация: тщательно опорожнить загрязнённую упаковку. После надлежащей очистки она может быть переработана.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вместе с чистящими средствами.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14.1 Номер ООН или идентификационный номер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14.2 Надлежащее транспортное наименование ООН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14.3 Класс(ы) транспортной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14.4 Группа упаковки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14.5 Опасности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Транспорт / дополнительная информация: не является опасным согласно вышеуказанным характеристикам.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Типовые правила ООН: отсутствует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15.1 Правила по безопасности, охране здоровья и окружающей среды, специфичные для вещества или смеси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Директива 2012/18/EU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РЕГЛАМЕНТ (ЕС) 2019/1148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111/2005, устанавливающий правила мониторинга торговли между Сообществом и третьими странами прекурсорами наркотических веществ: ни один из компонентов не включён в перечень.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15.2 Оценка химической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Эта информация основана на наших текущих знаниях.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H302 Вреден при проглатывании.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H310 Смертельно при попадании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H314 Вызывает серьёзные ожоги кожи и повреждение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H318 Вызывает серьёзное повреждение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H410 Очень токсично для водных организмов с долгосрочным эффектом.</w:t>
      </w: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Контакт: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Dr. Kötte, тел. +49 (0)931 27964-25, E-Mail: msds.info@uzin-utz.com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Сокращения и акронимы: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RID: Международное соглашение о железнодорожной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ICAO: Международная организация гражданской авиации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ADR: Европейское соглашение о международной 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IMDG: Международный морской кодекс по опасным грузам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IATA: Международная ассоциация воздушного транспорта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EINECS: Европейский перечень существующих коммерческих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ELINCS: Европейский список зарегистрированных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CAS: Chemical Abstracts Service (подразделение Американского химического общества)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PBT: стойкое, биоаккумулятивное и токсичное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vPvB: очень стойкое и очень биоаккумулятивное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3: острая токсичность — категория 3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4: острая токсичность — категория 4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2: острая токсичность — категория 2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Corr. 1C: разъедание/раздражение кожи — категория 1C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Irrit. 2: разъедание/раздражение кожи — категория 2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Eye Dam. 1: серьёзное повреждение/раздражение глаз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Sens. 1: сенсибилизация кожи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Sens. 1A: сенсибилизация кожи — категория 1A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Aquatic Acute 1: опасно для водной среды — острая опасность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Aquatic Chronic 1: опасно для водной среды — долгосрочная опасность — категория 1</w:t>
      </w:r>
    </w:p>
    <w:p>
      <w:pPr>
        <w:spacing w:after="60" w:before="60"/>
      </w:pPr>
      <w:r>
        <w:rPr>
          <w:b w:val="false"/>
          <w:bCs w:val="false"/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sectPr>
      <w:pgSz w:w="11906" w:h="16838" w:orient="portrait"/>
      <w:pgMar w:top="1296" w:right="1296" w:bottom="1296" w:left="1296" w:header="708" w:footer="708" w:gutter="0"/>
      <w:pgBorders w:display="allPages" w:offsetFrom="page" w:zOrder="front">
        <w:top w:val="single" w:color="8EA9DB" w:sz="12" w:space="24"/>
        <w:left w:val="single" w:color="8EA9DB" w:sz="12" w:space="24"/>
        <w:bottom w:val="single" w:color="8EA9DB" w:sz="12" w:space="24"/>
        <w:right w:val="single" w:color="8EA9DB" w:sz="12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2026-07-21T13:14:51.593Z</dcterms:created>
  <dcterms:modified xsi:type="dcterms:W3CDTF">2026-07-21T13:14:51.593Z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