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60"/>
        <w:jc w:val="center"/>
      </w:pPr>
      <w:r>
        <w:rPr>
          <w:i/>
          <w:iCs/>
          <w:sz w:val="22"/>
          <w:szCs w:val="22"/>
        </w:rPr>
        <w:t xml:space="preserve">согласно UK REACH</w:t>
      </w:r>
    </w:p>
    <w:p>
      <w:pPr>
        <w:pBdr>
          <w:bottom w:val="single" w:color="1F3864" w:sz="8" w:space="4"/>
        </w:pBdr>
        <w:spacing w:after="240"/>
        <w:jc w:val="center"/>
      </w:pPr>
      <w:r>
        <w:rPr>
          <w:b/>
          <w:bCs/>
          <w:sz w:val="26"/>
          <w:szCs w:val="26"/>
        </w:rPr>
        <w:t xml:space="preserve">GRUNDREINIGER / CLEAN STRONG</w:t>
      </w:r>
    </w:p>
    <w:p>
      <w:pPr>
        <w:spacing w:after="200"/>
        <w:jc w:val="center"/>
      </w:pPr>
      <w:r>
        <w:rPr>
          <w:i/>
          <w:iCs/>
          <w:sz w:val="18"/>
          <w:szCs w:val="18"/>
        </w:rPr>
        <w:t xml:space="preserve">Дата печати: 13.05.2026   ·   Версия № 11 (заменяет версию 10)   ·   Редакция: 13.05.2026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1.1 Идентификатор продукта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GRUNDREINIGER / CLEAN STRONG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Сектор применения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SU19 Строительство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PC35 Моющие и чистящие средства (в т. ч. на основе растворителей)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чистящая эмульсия на водной основе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Виды использования, не рекомендуемые к применению: дополнительная значимая информация отсутствует.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PALLMANN GmbH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Im Kreuz 6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D-97076 Würzburg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Тел. +49 931-27964-0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информация можно получить у: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Products Development Lab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1.4 Телефон экстренной связи: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Медицинская помощь (Информационный центр по отравлениям GIZ-Nord): +49 551 19240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2.1 Классификация вещества или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Пиктограмма опасности: GHS07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Eye Irrit. 2, H319 Вызывает серьёзное раздражение глаз.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2.2 Элементы маркировки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Маркировка согласно Регламенту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классифицирован и маркирован согласно регламенту GB CLP.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Пиктограммы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GHS07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Сигнальное слово: Внимание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Указания на опасность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H319 Вызывает серьёзное раздражение глаз.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Меры предосторожности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P280 Использовать защитные перчатки / средства защиты глаз.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P305+P351+P338 ПРИ ПОПАДАНИИ В ГЛАЗА: Осторожно промывать глаза водой в течение нескольких минут. Снять контактные линзы, если это можно сделать легко. Продолжить промывание.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P337+P313 При продолжающемся раздражении глаз: обратиться за медицинской помощью/консультацией.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2.3 Прочие опасности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СБТ: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Данное вещество/смесь не содержит компонентов, которые могут считаться стойкими, биоаккумулятивными и токсичными (СБТ).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оСБсБ: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Данное вещество/смесь не содержит компонентов, которые могут считаться очень стойкими и очень биоаккумулятивными (оСБсБ), в концентрациях 0,1 % и выше.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Определение свойств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Данное вещество/смесь не содержит компонентов, являющихся эндокринными разрушителями согласно Статье 57(f) UK REACH, Делегированному регламенту (ЕС) 2017/2100 или Делегированному регламенту (ЕС) 2018/605, в концентрациях 0,1 % и выше.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3.2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чистящее средство на водной основе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Опасные компоненты: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67"/>
        <w:gridCol w:w="2794"/>
        <w:gridCol w:w="2235"/>
        <w:gridCol w:w="1118"/>
      </w:tblGrid>
      <w:tr>
        <w:trPr>
          <w:tblHeader/>
        </w:trPr>
        <w:tc>
          <w:tcPr>
            <w:tcW w:type="dxa" w:w="316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EINECS / Рег. №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</w:t>
            </w:r>
          </w:p>
        </w:tc>
        <w:tc>
          <w:tcPr>
            <w:tcW w:type="dxa" w:w="223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11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Концентрация</w:t>
            </w:r>
          </w:p>
        </w:tc>
      </w:tr>
      <w:tr>
        <w:tc>
          <w:tcPr>
            <w:tcW w:type="dxa" w:w="316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112-34-5
EINECS: 203-961-6
Рег. №: 01-2119475104-44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2-(2-бутоксиэтокси)этанол</w:t>
            </w:r>
          </w:p>
        </w:tc>
        <w:tc>
          <w:tcPr>
            <w:tcW w:type="dxa" w:w="223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Eye Irrit. 2, H319</w:t>
            </w:r>
          </w:p>
        </w:tc>
        <w:tc>
          <w:tcPr>
            <w:tcW w:type="dxa" w:w="11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10–20%</w:t>
            </w:r>
          </w:p>
        </w:tc>
      </w:tr>
      <w:tr>
        <w:tc>
          <w:tcPr>
            <w:tcW w:type="dxa" w:w="316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107-98-2
EINECS: 203-539-1
Рег. №: 01-2119457435-35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1-метокси-2-пропанол</w:t>
            </w:r>
          </w:p>
        </w:tc>
        <w:tc>
          <w:tcPr>
            <w:tcW w:type="dxa" w:w="223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Flam. Liq. 3, H226; STOT SE 3, H336</w:t>
            </w:r>
          </w:p>
        </w:tc>
        <w:tc>
          <w:tcPr>
            <w:tcW w:type="dxa" w:w="11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3–&lt;8%</w:t>
            </w:r>
          </w:p>
        </w:tc>
      </w:tr>
      <w:tr>
        <w:tc>
          <w:tcPr>
            <w:tcW w:type="dxa" w:w="316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68439-46-3
EC: 614-482-0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C9-11 этоксилат спирта</w:t>
            </w:r>
          </w:p>
        </w:tc>
        <w:tc>
          <w:tcPr>
            <w:tcW w:type="dxa" w:w="223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Eye Dam. 1, H318; Acute Tox. 4, H302</w:t>
            </w:r>
          </w:p>
        </w:tc>
        <w:tc>
          <w:tcPr>
            <w:tcW w:type="dxa" w:w="11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1–&lt;3%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4.1 Описание мер первой помощи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особых мер не требуется.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обеспечить приток свежего воздуха; при жалобах обратиться к врачу.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смыть водой с мылом и тщательно промыть.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При контакте с глазами: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ПОПАДАНИИ В ГЛАЗА: осторожно промывать глаза водой в течение нескольких минут. Снять контактные линзы, если это можно сделать легко. Продолжить промывание.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продолжающемся раздражении глаз: обратиться за медицинской помощью/консультацией.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При проглатывании: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вызывать рвоту; немедленно обратиться за медицинской помощью.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Прополоскать рот, затем выпить большое количество воды.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5.1 Средства пожаротушения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 тушения: CO₂, порошок или водяной распылитель. При крупных пожарах использовать водяной распылитель или пену, устойчивую к спирту.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Непригодные средства тушения по соображениям безопасности: вода сплошной струёй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5.3 Рекомендации для пожарных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Защитное оборудование: автономный дыхательный аппарат.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требуются.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 / поверхностные или грунтовые воды.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проникновения в почву/грунт.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Собрать при помощи жидкостно-связывающего материала (песок, диатомит, кислотосвязывающие средства, универсальные сорбенты, опилки).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6.4 Ссылка на другие разделы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7 для информации о безопасном обращении.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8 для информации о средствах индивидуальной защиты.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13 для информации по утилизации.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в недоступном для детей месте.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Немедленно снимать всю загрязнённую и пропитанную одежду.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попадания в глаза и на кожу.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вдали от пищевых продуктов, напитков и корма.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по пожаро- и взрывозащите: особых мер не требуется.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7.2 Условия для безопасного хранения, включая несовместимость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Хранение: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информация об условиях хранения: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ёмкость плотно закрытой.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Беречь от мороза.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Тщательно закрывать открытые ёмкости и хранить в вертикальном положении во избежание утечки.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7.3 Специфическое конечное применение(я)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8.1 Параметры контроля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Компоненты с предельными значениями, подлежащие контролю на рабочем месте: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726"/>
        <w:gridCol w:w="2794"/>
        <w:gridCol w:w="2794"/>
      </w:tblGrid>
      <w:tr>
        <w:trPr>
          <w:tblHeader/>
        </w:trP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112-34-5
2-(2-бутоксиэтокси)этанол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WEL (кратковременное)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101,2 мг/м³, 15 ppm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WEL (долгосрочное)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67,5 мг/м³, 10 ppm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107-98-2
1-метокси-2-пропанол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WEL (кратковременное)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560 мг/м³, 150 ppm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WEL (долгосрочное)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375 мг/м³, 100 ppm; кожа (Sk)</w:t>
            </w:r>
          </w:p>
        </w:tc>
      </w:tr>
    </w:tbl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Нормативная информация: WEL: EH40/2020</w:t>
      </w:r>
    </w:p>
    <w:p>
      <w:pPr>
        <w:spacing w:after="100" w:before="0"/>
      </w:pPr>
    </w:p>
    <w:p>
      <w:pPr>
        <w:spacing w:after="60" w:before="160"/>
      </w:pPr>
      <w:r>
        <w:rPr>
          <w:b/>
          <w:bCs/>
          <w:sz w:val="21"/>
          <w:szCs w:val="21"/>
        </w:rPr>
        <w:t xml:space="preserve">DNEL (производные уровни, не вызывающие эффекта):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726"/>
        <w:gridCol w:w="2794"/>
        <w:gridCol w:w="2794"/>
      </w:tblGrid>
      <w:tr>
        <w:trPr>
          <w:tblHeader/>
        </w:trP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Путь воздействия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2-(2-бутоксиэтокси)этанол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Пероральный DNEL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6,25 мг/кг/сутки (человек/потребитель)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Ингаляционный DNEL (острое)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101,2 мг/м³ (работник)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Ингаляционный DNEL (долгосрочное)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67,5 мг/м³ (работник)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1-метокси-2-пропанол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Пероральный DNEL (долгосрочное)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33 мг/кг (человек/потребитель)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Дермальный DNEL (долгосрочное)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78 мг/кг (человек/потребитель); 183 мг/кг (работник)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Ингаляционный DNEL (острое)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553,5 мг/м³ (работник)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Ингаляционный DNEL (долгосрочное)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43,9 мг/м³ (человек/потребитель); 369 мг/м³ (работник)</w:t>
            </w:r>
          </w:p>
        </w:tc>
      </w:tr>
    </w:tbl>
    <w:p>
      <w:pPr>
        <w:spacing w:after="100" w:before="0"/>
      </w:pPr>
    </w:p>
    <w:p>
      <w:pPr>
        <w:spacing w:after="60" w:before="160"/>
      </w:pPr>
      <w:r>
        <w:rPr>
          <w:b/>
          <w:bCs/>
          <w:sz w:val="21"/>
          <w:szCs w:val="21"/>
        </w:rPr>
        <w:t xml:space="preserve">PNEC (прогнозируемые концентрации, не вызывающие эффекта):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726"/>
        <w:gridCol w:w="2794"/>
        <w:gridCol w:w="2794"/>
      </w:tblGrid>
      <w:tr>
        <w:trPr>
          <w:tblHeader/>
        </w:trP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Среда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2-(2-бутоксиэтокси)этанол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Морская вода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110 мкг/л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Пресная вода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1 100 мкг/л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1-метокси-2-пропанол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Морская вода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1 000 мкг/л</w:t>
            </w:r>
          </w:p>
        </w:tc>
      </w:tr>
      <w:tr>
        <w:tc>
          <w:tcPr>
            <w:tcW w:type="dxa" w:w="37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Пресная вода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10 000 мкг/л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8.2 Меры по ограничению воздействия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Соответствующие технические меры контроля: дополнительных данных нет; см. раздел 7.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Общие защитные и гигиенические меры: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Обычные меры предосторожности должны соблюдаться при обращении с химикатами.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Немедленно снимать всю загрязнённую и пропитанную одежду.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вдали от пищевых продуктов, напитков и корма.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перчатки из прочного материала, желательно с трикотажной подкладкой для повышения комфорта (EN 374).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Для очистки кожи использовать только воду и мягкое мыло или pH-нейтральное очищающее средство. Не использовать растворители.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Перчатки должны немедленно утилизироваться при сильном загрязнении, при попадании брызг после истечения максимального времени ношения, но не позднее конца смены.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Материал перчаток: ПВХ или ПЭ (EN 374); рекомендуемая толщина материала: ≥ 0,5 мм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Время проницаемости материала перчаток: не менее 480 минут. Точное время прорыва должно быть определено производителем защитных перчаток и соблюдаться.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Защитные очки (EN 166)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Общая информация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57"/>
        <w:gridCol w:w="4657"/>
      </w:tblGrid>
      <w:tr>
        <w:trPr>
          <w:tblHeader/>
        </w:trP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Прозрачный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 запахом растворителя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Порог восприятия запаха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плавления/замерзания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определены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Воспламеняемость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Неприменимо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Нижний предел взрываемости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Верхний предел взрываемости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разложения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pH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10,5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Кинематическая вязкость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14 с (DIN 53211/4)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Динамическая вязкость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Коэффициент распределения н-октанол/вода (лог. значение)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Давление паров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определено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1,01 г/см³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Относительная плотность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паров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9.2 Прочая информация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Форма: жидкая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Температура самовоспламенения: продукт не является самовоспламеняющимся.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Скорость испарения: не определена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Информация в отношении классов физической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Ни один из перечисленных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самореактивные вещества, пирофорные жидкости и твёрдые вещества, самонагревающиеся вещества, вещества, выделяющие 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 к продукту не применяется.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10.1 Реакционная способность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10.2 Химическая стабильность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Стабилен в нормальных условиях.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разложения не происходит при использовании по назначению.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10.3 Возможность опасных реакций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реакции неизвестны.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10.4 Условия, которых следует избегать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10.5 Несовместимые материалы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10.6 Опасные продукты разложения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11.1 Информация о классах опасности, определённых Регламентом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выполняются.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Значения LD/LC50, значимые для классификации: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57"/>
        <w:gridCol w:w="2329"/>
        <w:gridCol w:w="2329"/>
      </w:tblGrid>
      <w:tr>
        <w:trPr>
          <w:tblHeader/>
        </w:trP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2-(2-бутоксиэтокси)этанол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Оральный LD50 (крыса)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5 660 мг/кг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Дермальный LD50 (кролик)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4 000 мг/кг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1-метокси-2-пропанол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Оральный LD50 (крыса)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5 660 мг/кг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Дермальный LD50 (кролик)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13 000 мг/кг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Ингаляционный LC50/4ч (крыса)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25,8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C9-11 этоксилат спирта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Оральный LD50 (крыса)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&gt;300–2 000 мг/кг</w:t>
            </w:r>
          </w:p>
        </w:tc>
      </w:tr>
    </w:tbl>
    <w:p>
      <w:pPr>
        <w:spacing w:after="100" w:before="0"/>
      </w:pPr>
    </w:p>
    <w:p>
      <w:pPr>
        <w:spacing w:after="60" w:before="160"/>
      </w:pPr>
      <w:r>
        <w:rPr>
          <w:b/>
          <w:bCs/>
          <w:sz w:val="21"/>
          <w:szCs w:val="21"/>
        </w:rPr>
        <w:t xml:space="preserve">Первичное раздражающее воздействие: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Раздражение/разъедание кожи: на основании имеющихся данных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Серьёзное повреждение/раздражение глаз: вызывает серьёзное раздражение глаз.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Сенсибилизация дыхательных путей или кожи: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Мутагенность зародышевых клеток: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Канцерогенность: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Репродуктивная токсичность: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при аспирации: критерии классификации не выполняются.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11.2 Информация о прочих опасностях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Свойства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Ни один из компонентов не включён в перечень.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12.1 Токсичность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57"/>
        <w:gridCol w:w="2329"/>
        <w:gridCol w:w="2329"/>
      </w:tblGrid>
      <w:tr>
        <w:trPr>
          <w:tblHeader/>
        </w:trP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2-(2-бутоксиэтокси)этанол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EC50/48ч (Daphnia magna)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LC50/96ч (рыба, OECD 203)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1 300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1-метокси-2-пропанол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EC50/48ч (Daphnia magna)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23 300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LC50/96ч (Leuciscus idus)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&gt;4 000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LC50/96ч (pimephales promelas)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20 800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C9-11 этоксилат спирта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EC50/48ч (Daphnia magna)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&gt;1–10 мг/л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12.2 Стойкость и способность к разложению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12.3 Биоаккумулятивный потенциал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12.4 Мобильность в почве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12.5 Результаты оценки СБТ и оСБсБ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СБТ: данное вещество/смесь не содержит компонентов, которые могут считаться стойкими, биоаккумулятивными и токсичными.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оСБсБ: данное вещество/смесь не содержит компонентов, которые могут считаться очень стойкими и очень биоаккумулятивными, в концентрациях 0,1 % и выше.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12.6 Свойства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Данное вещество/смесь не содержит компонентов, являющихся эндокринными разрушителями согласно Статье 57(f) UK REACH, Делегированному регламенту (ЕС) 2017/2100 или Делегированному регламенту (ЕС) 2018/605, в концентрациях 0,1 % и выше.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12.7 Прочие неблагоприятные эффекты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экологическая информация: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водоёмы или канализацию.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13.1 Методы обработки отходов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Рекомендация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Небольшие количества можно развести большим количеством воды и смыть. Утилизацию больших количеств проводить в соответствии с требованиями местных органов власти.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Утилизация должна проводиться в соответствии с местным, региональным или национальным законодательством.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Европейский классификатор отходов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20 01 29* моющие средства, содержащие опасные вещества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15 01 02 пластиковая упаковка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Загрязнённая упаковка: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Рекомендация: тщательно опорожнить загрязнённую упаковку. После надлежащей очистки она может быть переработана.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Рекомендуемые чистящие средства: вода, при необходимости вместе с чистящими средствами.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14.1 Номер ООН или идентификационный номер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14.2 Надлежащее транспортное наименование ООН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14.3 Класс(ы) транспортной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14.4 Группа упаковки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14.5 Опасности для окружающей среды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Неприменимо.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Неприменимо.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Транспорт / дополнительная информация: не является опасным согласно вышеуказанным характеристикам.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Типовые правила ООН: отсутствует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15.1 Правила по безопасности, охране здоровья и окружающей среды, специфичные для вещества или смеси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Закон о ядовитых веществах (Poisons Act)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Регулируемые ядовитые вещества: ни один из компонентов не включён в перечень.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Ядовитые вещества, подлежащие отчётности: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CAS: 1310-73-2 гидроксид натрия — 12 % от общей каустической щёлочности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Директива 2012/18/EU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РЕГЛАМЕНТ (ЕС) № 1907/2006, ПРИЛОЖЕНИЕ XVII: условия ограничения 3, 55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15.2 Оценка химической безопасности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Эта информация основана на наших текущих знаниях.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H226 Легковоспламеняющаяся жидкость и пар.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H302 Вреден при проглатывании.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H318 Вызывает серьёзное повреждение глаз.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H319 Вызывает серьёзное раздражение глаз.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H336 Может вызывать сонливость и головокружение.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Контакт: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Сокращения и акронимы: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RID: Международное соглашение о железнодорожной перевозке опасных грузов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ICAO: Международная организация гражданской авиации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ADR: Европейское соглашение о международной дорожной перевозке опасных грузов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IMDG: Международный морской кодекс по опасным грузам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IATA: Международная ассоциация воздушного транспорта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EINECS: Европейский перечень существующих коммерческих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ELINCS: Европейский список зарегистрированных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CAS: Chemical Abstracts Service (подразделение Американского химического общества)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DNEL: производный уровень отсутствия воздействия (UK REACH)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PNEC: прогнозируемая концентрация отсутствия воздействия (UK REACH)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LC50: летальная концентрация, 50 процентов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LD50: летальная доза, 50 процентов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PBT: стойкое, биоаккумулятивное и токсичное вещество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vPvB: очень стойкое и очень биоаккумулятивное вещество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Flam. Liq. 3: легковоспламеняющиеся жидкости — категория 3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Acute Tox. 4: острая токсичность — категория 4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Eye Dam. 1: серьёзное повреждение/раздражение глаз — категория 1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Eye Irrit. 2: серьёзное повреждение/раздражение глаз — категория 2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STOT SE 3: специфическая токсичность на органы-мишени (однократное воздействие) — категория 3</w:t>
      </w:r>
    </w:p>
    <w:p>
      <w:pPr>
        <w:spacing w:after="60" w:before="60"/>
      </w:pPr>
      <w:r>
        <w:rPr>
          <w:b w:val="false"/>
          <w:bCs w:val="false"/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sectPr>
      <w:pgSz w:w="11906" w:h="16838" w:orient="portrait"/>
      <w:pgMar w:top="1296" w:right="1296" w:bottom="1296" w:left="1296" w:header="708" w:footer="708" w:gutter="0"/>
      <w:pgBorders w:display="allPages" w:offsetFrom="page" w:zOrder="front">
        <w:top w:val="single" w:color="8EA9DB" w:sz="12" w:space="24"/>
        <w:left w:val="single" w:color="8EA9DB" w:sz="12" w:space="24"/>
        <w:bottom w:val="single" w:color="8EA9DB" w:sz="12" w:space="24"/>
        <w:right w:val="single" w:color="8EA9DB" w:sz="12" w:space="24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2026-07-21T13:13:23.305Z</dcterms:created>
  <dcterms:modified xsi:type="dcterms:W3CDTF">2026-07-21T13:13:23.305Z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